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CC6D8B" w14:textId="77777777" w:rsidR="008E7D40" w:rsidRPr="00657A03" w:rsidRDefault="008E7D40" w:rsidP="006D6187">
      <w:pPr>
        <w:spacing w:line="276" w:lineRule="auto"/>
        <w:rPr>
          <w:rFonts w:ascii="Arial" w:hAnsi="Arial" w:cs="Arial"/>
          <w:b/>
          <w:sz w:val="22"/>
          <w:szCs w:val="22"/>
          <w:u w:val="single"/>
        </w:rPr>
      </w:pPr>
      <w:r w:rsidRPr="001451A6">
        <w:rPr>
          <w:rFonts w:ascii="Calibri" w:eastAsia="Calibri" w:hAnsi="Calibri" w:cs="Calibri"/>
          <w:b/>
          <w:noProof/>
          <w:sz w:val="36"/>
          <w:szCs w:val="36"/>
          <w:lang w:val="ru-RU" w:eastAsia="ru-RU"/>
        </w:rPr>
        <w:drawing>
          <wp:inline distT="0" distB="0" distL="0" distR="0" wp14:anchorId="134ABCA5" wp14:editId="3533CEEC">
            <wp:extent cx="1905000" cy="80192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71944" cy="830104"/>
                    </a:xfrm>
                    <a:prstGeom prst="rect">
                      <a:avLst/>
                    </a:prstGeom>
                    <a:noFill/>
                  </pic:spPr>
                </pic:pic>
              </a:graphicData>
            </a:graphic>
          </wp:inline>
        </w:drawing>
      </w:r>
      <w:r w:rsidRPr="00537588">
        <w:rPr>
          <w:rFonts w:ascii="Arial" w:hAnsi="Arial" w:cs="Arial"/>
          <w:b/>
          <w:sz w:val="22"/>
          <w:szCs w:val="22"/>
        </w:rPr>
        <w:t xml:space="preserve">                                </w:t>
      </w:r>
      <w:r w:rsidRPr="001451A6">
        <w:rPr>
          <w:rFonts w:ascii="Calibri" w:eastAsia="Calibri" w:hAnsi="Calibri"/>
          <w:noProof/>
          <w:sz w:val="22"/>
          <w:szCs w:val="22"/>
          <w:lang w:val="ru-RU" w:eastAsia="ru-RU"/>
        </w:rPr>
        <w:drawing>
          <wp:inline distT="0" distB="0" distL="0" distR="0" wp14:anchorId="1F960A6E" wp14:editId="5A1AD781">
            <wp:extent cx="1563343" cy="956945"/>
            <wp:effectExtent l="0" t="0" r="0" b="0"/>
            <wp:docPr id="4" name="Picture 4" descr="Image result for Downloaded E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Downloaded EU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1576724" cy="965136"/>
                    </a:xfrm>
                    <a:prstGeom prst="rect">
                      <a:avLst/>
                    </a:prstGeom>
                    <a:noFill/>
                    <a:ln>
                      <a:noFill/>
                    </a:ln>
                  </pic:spPr>
                </pic:pic>
              </a:graphicData>
            </a:graphic>
          </wp:inline>
        </w:drawing>
      </w:r>
    </w:p>
    <w:p w14:paraId="1A93271E" w14:textId="77777777" w:rsidR="008E7D40" w:rsidRPr="00657A03" w:rsidRDefault="008E7D40" w:rsidP="006D6187">
      <w:pPr>
        <w:spacing w:line="276" w:lineRule="auto"/>
        <w:jc w:val="both"/>
        <w:rPr>
          <w:rFonts w:ascii="Arial" w:hAnsi="Arial" w:cs="Arial"/>
          <w:b/>
          <w:sz w:val="22"/>
          <w:szCs w:val="22"/>
          <w:u w:val="single"/>
        </w:rPr>
      </w:pPr>
    </w:p>
    <w:p w14:paraId="1A507787" w14:textId="77777777" w:rsidR="008E7D40" w:rsidRDefault="008E7D40" w:rsidP="006D6187">
      <w:pPr>
        <w:spacing w:line="276" w:lineRule="auto"/>
        <w:jc w:val="center"/>
        <w:rPr>
          <w:rFonts w:ascii="Arial" w:hAnsi="Arial" w:cs="Arial"/>
          <w:b/>
          <w:sz w:val="28"/>
          <w:szCs w:val="28"/>
          <w:u w:val="single"/>
        </w:rPr>
      </w:pPr>
    </w:p>
    <w:p w14:paraId="1C06476B" w14:textId="77777777" w:rsidR="008E7D40" w:rsidRPr="00A25D22" w:rsidRDefault="008E7D40" w:rsidP="006D6187">
      <w:pPr>
        <w:spacing w:line="276" w:lineRule="auto"/>
        <w:jc w:val="center"/>
        <w:rPr>
          <w:rFonts w:ascii="Arial" w:hAnsi="Arial" w:cs="Arial"/>
          <w:b/>
          <w:sz w:val="28"/>
          <w:szCs w:val="28"/>
          <w:u w:val="single"/>
        </w:rPr>
      </w:pPr>
      <w:r w:rsidRPr="00A25D22">
        <w:rPr>
          <w:rFonts w:ascii="Arial" w:hAnsi="Arial" w:cs="Arial"/>
          <w:b/>
          <w:sz w:val="28"/>
          <w:szCs w:val="28"/>
          <w:u w:val="single"/>
        </w:rPr>
        <w:t xml:space="preserve">TILITONSE FOUNDATION </w:t>
      </w:r>
      <w:r w:rsidR="007A7316">
        <w:rPr>
          <w:rFonts w:ascii="Arial" w:hAnsi="Arial" w:cs="Arial"/>
          <w:b/>
          <w:sz w:val="28"/>
          <w:szCs w:val="28"/>
          <w:u w:val="single"/>
        </w:rPr>
        <w:t xml:space="preserve">THEMATIC </w:t>
      </w:r>
      <w:r w:rsidRPr="00A25D22">
        <w:rPr>
          <w:rFonts w:ascii="Arial" w:hAnsi="Arial" w:cs="Arial"/>
          <w:b/>
          <w:sz w:val="28"/>
          <w:szCs w:val="28"/>
          <w:u w:val="single"/>
        </w:rPr>
        <w:t xml:space="preserve">CALL FOR </w:t>
      </w:r>
      <w:r w:rsidR="007A7316">
        <w:rPr>
          <w:rFonts w:ascii="Arial" w:hAnsi="Arial" w:cs="Arial"/>
          <w:b/>
          <w:sz w:val="28"/>
          <w:szCs w:val="28"/>
          <w:u w:val="single"/>
        </w:rPr>
        <w:t xml:space="preserve">PROJECT </w:t>
      </w:r>
      <w:r w:rsidRPr="00A25D22">
        <w:rPr>
          <w:rFonts w:ascii="Arial" w:hAnsi="Arial" w:cs="Arial"/>
          <w:b/>
          <w:sz w:val="28"/>
          <w:szCs w:val="28"/>
          <w:u w:val="single"/>
        </w:rPr>
        <w:t>PROPOSAL</w:t>
      </w:r>
      <w:r>
        <w:rPr>
          <w:rFonts w:ascii="Arial" w:hAnsi="Arial" w:cs="Arial"/>
          <w:b/>
          <w:sz w:val="28"/>
          <w:szCs w:val="28"/>
          <w:u w:val="single"/>
        </w:rPr>
        <w:t xml:space="preserve">S </w:t>
      </w:r>
    </w:p>
    <w:p w14:paraId="37EE9163" w14:textId="676F7C7A" w:rsidR="008E7D40" w:rsidRDefault="008E7D40" w:rsidP="006D6187">
      <w:pPr>
        <w:spacing w:before="240" w:line="276" w:lineRule="auto"/>
        <w:jc w:val="both"/>
        <w:rPr>
          <w:rFonts w:ascii="Arial" w:hAnsi="Arial" w:cs="Arial"/>
          <w:sz w:val="22"/>
          <w:szCs w:val="22"/>
        </w:rPr>
      </w:pPr>
      <w:r w:rsidRPr="007C35E0">
        <w:rPr>
          <w:rFonts w:ascii="Arial" w:hAnsi="Arial" w:cs="Arial"/>
          <w:sz w:val="22"/>
          <w:szCs w:val="22"/>
        </w:rPr>
        <w:t>Tilitonse Foundation is a registered company limited by guarantee which was established in 2016 as a grant making facility to support Malawian Non State Actors to engage in governance interventions. The Foundation’s work is within the Malawi Government development policy frameworks such us the Malawi Growth and Development Strategy III</w:t>
      </w:r>
      <w:r>
        <w:rPr>
          <w:rFonts w:ascii="Arial" w:hAnsi="Arial" w:cs="Arial"/>
          <w:sz w:val="22"/>
          <w:szCs w:val="22"/>
        </w:rPr>
        <w:t xml:space="preserve"> and global frameworks such as the </w:t>
      </w:r>
      <w:r w:rsidRPr="003A6338">
        <w:rPr>
          <w:rFonts w:ascii="Arial" w:hAnsi="Arial" w:cs="Arial"/>
          <w:color w:val="000000"/>
          <w:sz w:val="22"/>
          <w:szCs w:val="22"/>
        </w:rPr>
        <w:t>Sustainable Development Goals (SDGs), the African Union Agenda 2063 and the Paris Declaration</w:t>
      </w:r>
      <w:r>
        <w:rPr>
          <w:rFonts w:ascii="Arial" w:hAnsi="Arial" w:cs="Arial"/>
          <w:sz w:val="22"/>
          <w:szCs w:val="22"/>
        </w:rPr>
        <w:t xml:space="preserve">. </w:t>
      </w:r>
      <w:r w:rsidRPr="007C35E0">
        <w:rPr>
          <w:rFonts w:ascii="Arial" w:hAnsi="Arial" w:cs="Arial"/>
          <w:sz w:val="22"/>
          <w:szCs w:val="22"/>
        </w:rPr>
        <w:t xml:space="preserve">Tilitonse Foundation supports Non State Actors to play a role in consolidation and upscaling good governance in Malawi. The </w:t>
      </w:r>
      <w:r>
        <w:rPr>
          <w:rFonts w:ascii="Arial" w:hAnsi="Arial" w:cs="Arial"/>
          <w:sz w:val="22"/>
          <w:szCs w:val="22"/>
        </w:rPr>
        <w:t xml:space="preserve">Foundation developed a Strategic Plan to guide its operations for the period 2018 – 2022 whose </w:t>
      </w:r>
      <w:r w:rsidRPr="007C35E0">
        <w:rPr>
          <w:rFonts w:ascii="Arial" w:hAnsi="Arial" w:cs="Arial"/>
          <w:sz w:val="22"/>
          <w:szCs w:val="22"/>
        </w:rPr>
        <w:t xml:space="preserve">overall goal is </w:t>
      </w:r>
      <w:r w:rsidRPr="003A6338">
        <w:rPr>
          <w:rFonts w:ascii="Arial" w:hAnsi="Arial" w:cs="Arial"/>
          <w:i/>
          <w:sz w:val="22"/>
          <w:szCs w:val="22"/>
        </w:rPr>
        <w:t xml:space="preserve">to increase capacity of NSAs </w:t>
      </w:r>
      <w:r>
        <w:rPr>
          <w:rFonts w:ascii="Arial" w:hAnsi="Arial" w:cs="Arial"/>
          <w:i/>
          <w:sz w:val="22"/>
          <w:szCs w:val="22"/>
        </w:rPr>
        <w:t xml:space="preserve">to </w:t>
      </w:r>
      <w:r w:rsidRPr="003A6338">
        <w:rPr>
          <w:rFonts w:ascii="Arial" w:hAnsi="Arial" w:cs="Arial"/>
          <w:i/>
          <w:sz w:val="22"/>
          <w:szCs w:val="22"/>
        </w:rPr>
        <w:t>actively promote citizens’ engagement in democratic governance and in upholding citizens’ rights by the state</w:t>
      </w:r>
      <w:r w:rsidRPr="007C35E0">
        <w:rPr>
          <w:rFonts w:ascii="Arial" w:hAnsi="Arial" w:cs="Arial"/>
          <w:sz w:val="22"/>
          <w:szCs w:val="22"/>
        </w:rPr>
        <w:t>.</w:t>
      </w:r>
    </w:p>
    <w:p w14:paraId="4B4BF41A" w14:textId="77777777" w:rsidR="008E7D40" w:rsidRPr="003A6338" w:rsidRDefault="008E7D40" w:rsidP="006D6187">
      <w:pPr>
        <w:widowControl w:val="0"/>
        <w:autoSpaceDE w:val="0"/>
        <w:autoSpaceDN w:val="0"/>
        <w:adjustRightInd w:val="0"/>
        <w:spacing w:after="240" w:line="276" w:lineRule="auto"/>
        <w:jc w:val="both"/>
        <w:rPr>
          <w:rFonts w:ascii="Arial" w:hAnsi="Arial" w:cs="Arial"/>
          <w:bCs/>
          <w:sz w:val="22"/>
          <w:szCs w:val="22"/>
        </w:rPr>
      </w:pPr>
      <w:r w:rsidRPr="007C35E0">
        <w:rPr>
          <w:rFonts w:ascii="Arial" w:hAnsi="Arial" w:cs="Arial"/>
          <w:sz w:val="22"/>
          <w:szCs w:val="22"/>
        </w:rPr>
        <w:t xml:space="preserve">Tilitonse Foundation believes that increased capacity of Non State Actors and promoting levels of citizens’ engagement in democratic governance </w:t>
      </w:r>
      <w:r>
        <w:rPr>
          <w:rFonts w:ascii="Arial" w:hAnsi="Arial" w:cs="Arial"/>
          <w:sz w:val="22"/>
          <w:szCs w:val="22"/>
        </w:rPr>
        <w:t>are important to catalyse</w:t>
      </w:r>
      <w:r w:rsidRPr="007C35E0">
        <w:rPr>
          <w:rFonts w:ascii="Arial" w:hAnsi="Arial" w:cs="Arial"/>
          <w:sz w:val="22"/>
          <w:szCs w:val="22"/>
        </w:rPr>
        <w:t xml:space="preserve"> increased accountability, responsiveness and inclusivity</w:t>
      </w:r>
      <w:r>
        <w:rPr>
          <w:rFonts w:ascii="Arial" w:hAnsi="Arial" w:cs="Arial"/>
          <w:sz w:val="22"/>
          <w:szCs w:val="22"/>
        </w:rPr>
        <w:t xml:space="preserve"> of the state and other service providers</w:t>
      </w:r>
      <w:r w:rsidRPr="007C35E0">
        <w:rPr>
          <w:rFonts w:ascii="Arial" w:hAnsi="Arial" w:cs="Arial"/>
          <w:sz w:val="22"/>
          <w:szCs w:val="22"/>
        </w:rPr>
        <w:t>.</w:t>
      </w:r>
      <w:r w:rsidRPr="007C35E0">
        <w:rPr>
          <w:rFonts w:ascii="Arial" w:hAnsi="Arial" w:cs="Arial"/>
          <w:bCs/>
          <w:sz w:val="22"/>
          <w:szCs w:val="22"/>
        </w:rPr>
        <w:t xml:space="preserve"> </w:t>
      </w:r>
      <w:r w:rsidRPr="007C35E0">
        <w:rPr>
          <w:rFonts w:ascii="Arial" w:hAnsi="Arial" w:cs="Arial"/>
          <w:sz w:val="22"/>
          <w:szCs w:val="22"/>
        </w:rPr>
        <w:t xml:space="preserve">The approach that Tilitonse is advocating is one of collaboration, </w:t>
      </w:r>
      <w:r>
        <w:rPr>
          <w:rFonts w:ascii="Arial" w:hAnsi="Arial" w:cs="Arial"/>
          <w:sz w:val="22"/>
          <w:szCs w:val="22"/>
        </w:rPr>
        <w:t xml:space="preserve">partnerships, </w:t>
      </w:r>
      <w:r w:rsidRPr="007C35E0">
        <w:rPr>
          <w:rFonts w:ascii="Arial" w:hAnsi="Arial" w:cs="Arial"/>
          <w:sz w:val="22"/>
          <w:szCs w:val="22"/>
        </w:rPr>
        <w:t>coalition</w:t>
      </w:r>
      <w:r>
        <w:rPr>
          <w:rFonts w:ascii="Arial" w:hAnsi="Arial" w:cs="Arial"/>
          <w:sz w:val="22"/>
          <w:szCs w:val="22"/>
        </w:rPr>
        <w:t xml:space="preserve"> </w:t>
      </w:r>
      <w:r w:rsidRPr="007C35E0">
        <w:rPr>
          <w:rFonts w:ascii="Arial" w:hAnsi="Arial" w:cs="Arial"/>
          <w:sz w:val="22"/>
          <w:szCs w:val="22"/>
        </w:rPr>
        <w:t>building, and having strong linkages to grassroots communities.</w:t>
      </w:r>
      <w:r w:rsidRPr="003A6338">
        <w:rPr>
          <w:rFonts w:ascii="Arial" w:hAnsi="Arial" w:cs="Arial"/>
          <w:bCs/>
          <w:sz w:val="22"/>
          <w:szCs w:val="22"/>
        </w:rPr>
        <w:t xml:space="preserve"> </w:t>
      </w:r>
    </w:p>
    <w:p w14:paraId="3BE06382" w14:textId="77777777" w:rsidR="008E7D40" w:rsidRPr="00686B16" w:rsidRDefault="008E7D40" w:rsidP="006D6187">
      <w:pPr>
        <w:spacing w:line="276" w:lineRule="auto"/>
        <w:jc w:val="both"/>
        <w:rPr>
          <w:rFonts w:ascii="Arial" w:hAnsi="Arial" w:cs="Arial"/>
          <w:bCs/>
          <w:sz w:val="22"/>
          <w:szCs w:val="22"/>
        </w:rPr>
      </w:pPr>
      <w:r w:rsidRPr="00686B16">
        <w:rPr>
          <w:rFonts w:ascii="Arial" w:hAnsi="Arial" w:cs="Arial"/>
          <w:bCs/>
          <w:sz w:val="22"/>
          <w:szCs w:val="22"/>
        </w:rPr>
        <w:t>Tilitonse Foundation aims to deliver one or more of the following result areas:</w:t>
      </w:r>
    </w:p>
    <w:p w14:paraId="2A5658CE" w14:textId="77777777" w:rsidR="008E7D40" w:rsidRPr="00686B16" w:rsidRDefault="008E7D40" w:rsidP="006D6187">
      <w:pPr>
        <w:numPr>
          <w:ilvl w:val="0"/>
          <w:numId w:val="1"/>
        </w:numPr>
        <w:spacing w:line="276" w:lineRule="auto"/>
        <w:jc w:val="both"/>
        <w:rPr>
          <w:rFonts w:ascii="Arial" w:hAnsi="Arial" w:cs="Arial"/>
          <w:bCs/>
          <w:sz w:val="22"/>
          <w:szCs w:val="22"/>
        </w:rPr>
      </w:pPr>
      <w:r w:rsidRPr="00686B16">
        <w:rPr>
          <w:rFonts w:ascii="Arial" w:hAnsi="Arial" w:cs="Arial"/>
          <w:bCs/>
          <w:sz w:val="22"/>
          <w:szCs w:val="22"/>
        </w:rPr>
        <w:t>Active citizenship: Duties of citizens; Voice and Action; Accountability and transparency; Democratic freedom to participate; Empowerment to participate</w:t>
      </w:r>
    </w:p>
    <w:p w14:paraId="4D99A3DD" w14:textId="77777777" w:rsidR="008E7D40" w:rsidRPr="00686B16" w:rsidRDefault="008E7D40" w:rsidP="006D6187">
      <w:pPr>
        <w:numPr>
          <w:ilvl w:val="0"/>
          <w:numId w:val="1"/>
        </w:numPr>
        <w:spacing w:line="276" w:lineRule="auto"/>
        <w:jc w:val="both"/>
        <w:rPr>
          <w:rFonts w:ascii="Arial" w:hAnsi="Arial" w:cs="Arial"/>
          <w:bCs/>
          <w:sz w:val="22"/>
          <w:szCs w:val="22"/>
        </w:rPr>
      </w:pPr>
      <w:r w:rsidRPr="00686B16">
        <w:rPr>
          <w:rFonts w:ascii="Arial" w:hAnsi="Arial" w:cs="Arial"/>
          <w:bCs/>
          <w:sz w:val="22"/>
          <w:szCs w:val="22"/>
        </w:rPr>
        <w:t>Local governance: Roles of the Council and Committee; Roles of Secretariat; Councillors and Members of Parliament; Traditional Leaders; people centred development planning</w:t>
      </w:r>
    </w:p>
    <w:p w14:paraId="1A3024A3" w14:textId="77777777" w:rsidR="008E7D40" w:rsidRPr="00686B16" w:rsidRDefault="008E7D40" w:rsidP="006D6187">
      <w:pPr>
        <w:numPr>
          <w:ilvl w:val="0"/>
          <w:numId w:val="1"/>
        </w:numPr>
        <w:spacing w:line="276" w:lineRule="auto"/>
        <w:jc w:val="both"/>
        <w:rPr>
          <w:rFonts w:ascii="Arial" w:hAnsi="Arial" w:cs="Arial"/>
          <w:bCs/>
          <w:sz w:val="22"/>
          <w:szCs w:val="22"/>
        </w:rPr>
      </w:pPr>
      <w:r w:rsidRPr="00686B16">
        <w:rPr>
          <w:rFonts w:ascii="Arial" w:hAnsi="Arial" w:cs="Arial"/>
          <w:bCs/>
          <w:sz w:val="22"/>
          <w:szCs w:val="22"/>
        </w:rPr>
        <w:t>Gender and social inclusion: Gender Equality; Gender based violence; Marginalised groups</w:t>
      </w:r>
    </w:p>
    <w:p w14:paraId="43FA4267" w14:textId="77777777" w:rsidR="008E7D40" w:rsidRPr="00686B16" w:rsidRDefault="008E7D40" w:rsidP="006D6187">
      <w:pPr>
        <w:numPr>
          <w:ilvl w:val="0"/>
          <w:numId w:val="1"/>
        </w:numPr>
        <w:spacing w:line="276" w:lineRule="auto"/>
        <w:jc w:val="both"/>
        <w:rPr>
          <w:rFonts w:ascii="Arial" w:hAnsi="Arial" w:cs="Arial"/>
          <w:bCs/>
          <w:sz w:val="22"/>
          <w:szCs w:val="22"/>
        </w:rPr>
      </w:pPr>
      <w:r w:rsidRPr="00686B16">
        <w:rPr>
          <w:rFonts w:ascii="Arial" w:hAnsi="Arial" w:cs="Arial"/>
          <w:bCs/>
          <w:sz w:val="22"/>
          <w:szCs w:val="22"/>
        </w:rPr>
        <w:t>Economic governance: Access to economic opportunities; Equity of access to capital; Equity of distribution of resources; Pro-poor planning/budgeting; Access to economic skills; Extractive industry; Agriculture/marketing and pricing</w:t>
      </w:r>
    </w:p>
    <w:p w14:paraId="72D2444E" w14:textId="77777777" w:rsidR="008E7D40" w:rsidRPr="00686B16" w:rsidRDefault="008E7D40" w:rsidP="006D6187">
      <w:pPr>
        <w:numPr>
          <w:ilvl w:val="0"/>
          <w:numId w:val="1"/>
        </w:numPr>
        <w:spacing w:line="276" w:lineRule="auto"/>
        <w:jc w:val="both"/>
        <w:rPr>
          <w:rFonts w:ascii="Arial" w:hAnsi="Arial" w:cs="Arial"/>
          <w:bCs/>
          <w:sz w:val="22"/>
          <w:szCs w:val="22"/>
        </w:rPr>
      </w:pPr>
      <w:r w:rsidRPr="00686B16">
        <w:rPr>
          <w:rFonts w:ascii="Arial" w:hAnsi="Arial" w:cs="Arial"/>
          <w:bCs/>
          <w:sz w:val="22"/>
          <w:szCs w:val="22"/>
        </w:rPr>
        <w:t>Rule of law: Access to justice; Juvenile justice; Knowledge of and appeal to law; Minority rights; Respect for the law; Anti-Corruption.</w:t>
      </w:r>
      <w:r w:rsidRPr="00686B16">
        <w:rPr>
          <w:rFonts w:ascii="Arial" w:hAnsi="Arial" w:cs="Arial"/>
          <w:bCs/>
          <w:sz w:val="22"/>
          <w:szCs w:val="22"/>
        </w:rPr>
        <w:tab/>
      </w:r>
    </w:p>
    <w:p w14:paraId="07934AD7" w14:textId="77777777" w:rsidR="008E7D40" w:rsidRDefault="008E7D40" w:rsidP="006D6187">
      <w:pPr>
        <w:spacing w:line="276" w:lineRule="auto"/>
        <w:jc w:val="both"/>
        <w:rPr>
          <w:rFonts w:ascii="Arial" w:hAnsi="Arial" w:cs="Arial"/>
          <w:sz w:val="22"/>
          <w:szCs w:val="22"/>
        </w:rPr>
      </w:pPr>
    </w:p>
    <w:p w14:paraId="38AAE02A" w14:textId="33547781" w:rsidR="008E7D40" w:rsidRDefault="008E7D40" w:rsidP="006D6187">
      <w:pPr>
        <w:spacing w:line="276" w:lineRule="auto"/>
        <w:jc w:val="both"/>
        <w:rPr>
          <w:rFonts w:ascii="Arial" w:hAnsi="Arial" w:cs="Arial"/>
          <w:sz w:val="22"/>
          <w:szCs w:val="22"/>
        </w:rPr>
      </w:pPr>
      <w:r w:rsidRPr="00686B16">
        <w:rPr>
          <w:rFonts w:ascii="Arial" w:hAnsi="Arial" w:cs="Arial"/>
          <w:sz w:val="22"/>
          <w:szCs w:val="22"/>
        </w:rPr>
        <w:t xml:space="preserve">Tilitonse Foundation </w:t>
      </w:r>
      <w:r>
        <w:rPr>
          <w:rFonts w:ascii="Arial" w:hAnsi="Arial" w:cs="Arial"/>
          <w:sz w:val="22"/>
          <w:szCs w:val="22"/>
        </w:rPr>
        <w:t xml:space="preserve">has created yet another opportunity to partner with </w:t>
      </w:r>
      <w:r w:rsidR="006D6187" w:rsidRPr="00686B16">
        <w:rPr>
          <w:rFonts w:ascii="Arial" w:hAnsi="Arial" w:cs="Arial"/>
          <w:sz w:val="22"/>
          <w:szCs w:val="22"/>
        </w:rPr>
        <w:t>registered</w:t>
      </w:r>
      <w:r w:rsidR="006D6187">
        <w:rPr>
          <w:rFonts w:ascii="Arial" w:hAnsi="Arial" w:cs="Arial"/>
          <w:sz w:val="22"/>
          <w:szCs w:val="22"/>
        </w:rPr>
        <w:t xml:space="preserve"> Non</w:t>
      </w:r>
      <w:r>
        <w:rPr>
          <w:rFonts w:ascii="Arial" w:hAnsi="Arial" w:cs="Arial"/>
          <w:sz w:val="22"/>
          <w:szCs w:val="22"/>
        </w:rPr>
        <w:t>-</w:t>
      </w:r>
      <w:r w:rsidR="007A7316">
        <w:rPr>
          <w:rFonts w:ascii="Arial" w:hAnsi="Arial" w:cs="Arial"/>
          <w:sz w:val="22"/>
          <w:szCs w:val="22"/>
        </w:rPr>
        <w:t>S</w:t>
      </w:r>
      <w:r>
        <w:rPr>
          <w:rFonts w:ascii="Arial" w:hAnsi="Arial" w:cs="Arial"/>
          <w:sz w:val="22"/>
          <w:szCs w:val="22"/>
        </w:rPr>
        <w:t xml:space="preserve">tate </w:t>
      </w:r>
      <w:r w:rsidR="007A7316">
        <w:rPr>
          <w:rFonts w:ascii="Arial" w:hAnsi="Arial" w:cs="Arial"/>
          <w:sz w:val="22"/>
          <w:szCs w:val="22"/>
        </w:rPr>
        <w:t>A</w:t>
      </w:r>
      <w:r>
        <w:rPr>
          <w:rFonts w:ascii="Arial" w:hAnsi="Arial" w:cs="Arial"/>
          <w:sz w:val="22"/>
          <w:szCs w:val="22"/>
        </w:rPr>
        <w:t xml:space="preserve">ctors </w:t>
      </w:r>
      <w:r w:rsidR="007A7316">
        <w:rPr>
          <w:rFonts w:ascii="Arial" w:hAnsi="Arial" w:cs="Arial"/>
          <w:sz w:val="22"/>
          <w:szCs w:val="22"/>
        </w:rPr>
        <w:t xml:space="preserve">(NSAs) </w:t>
      </w:r>
      <w:r>
        <w:rPr>
          <w:rFonts w:ascii="Arial" w:hAnsi="Arial" w:cs="Arial"/>
          <w:sz w:val="22"/>
          <w:szCs w:val="22"/>
        </w:rPr>
        <w:t xml:space="preserve">which are passionate about being drivers of change in this country. The </w:t>
      </w:r>
      <w:r w:rsidR="007A7316">
        <w:rPr>
          <w:rFonts w:ascii="Arial" w:hAnsi="Arial" w:cs="Arial"/>
          <w:sz w:val="22"/>
          <w:szCs w:val="22"/>
        </w:rPr>
        <w:t xml:space="preserve">opportunity is through Thematic Call Window which is an </w:t>
      </w:r>
      <w:r>
        <w:rPr>
          <w:rFonts w:ascii="Arial" w:hAnsi="Arial" w:cs="Arial"/>
          <w:sz w:val="22"/>
          <w:szCs w:val="22"/>
        </w:rPr>
        <w:t xml:space="preserve">open, </w:t>
      </w:r>
      <w:r>
        <w:rPr>
          <w:rFonts w:ascii="Arial" w:hAnsi="Arial" w:cs="Arial"/>
          <w:sz w:val="22"/>
          <w:szCs w:val="22"/>
        </w:rPr>
        <w:lastRenderedPageBreak/>
        <w:t>competitive</w:t>
      </w:r>
      <w:r w:rsidR="007A7316">
        <w:rPr>
          <w:rFonts w:ascii="Arial" w:hAnsi="Arial" w:cs="Arial"/>
          <w:sz w:val="22"/>
          <w:szCs w:val="22"/>
        </w:rPr>
        <w:t xml:space="preserve"> funding</w:t>
      </w:r>
      <w:r>
        <w:rPr>
          <w:rFonts w:ascii="Arial" w:hAnsi="Arial" w:cs="Arial"/>
          <w:sz w:val="22"/>
          <w:szCs w:val="22"/>
        </w:rPr>
        <w:t xml:space="preserve"> process </w:t>
      </w:r>
      <w:r w:rsidR="007A7316">
        <w:rPr>
          <w:rFonts w:ascii="Arial" w:hAnsi="Arial" w:cs="Arial"/>
          <w:sz w:val="22"/>
          <w:szCs w:val="22"/>
        </w:rPr>
        <w:t xml:space="preserve">aimed at supporting Non State Actors engage in governance interventions on a specific identified theme. </w:t>
      </w:r>
    </w:p>
    <w:p w14:paraId="61537F63" w14:textId="77777777" w:rsidR="008E7D40" w:rsidRDefault="008E7D40" w:rsidP="006D6187">
      <w:pPr>
        <w:spacing w:line="276" w:lineRule="auto"/>
        <w:jc w:val="both"/>
        <w:rPr>
          <w:rFonts w:ascii="Arial" w:hAnsi="Arial" w:cs="Arial"/>
          <w:sz w:val="22"/>
          <w:szCs w:val="22"/>
        </w:rPr>
      </w:pPr>
    </w:p>
    <w:p w14:paraId="5B4AF2B9" w14:textId="77777777" w:rsidR="008E7D40" w:rsidRPr="00943B4F" w:rsidRDefault="007A7316" w:rsidP="006D6187">
      <w:pPr>
        <w:spacing w:line="276" w:lineRule="auto"/>
        <w:jc w:val="both"/>
        <w:rPr>
          <w:rFonts w:ascii="Arial" w:hAnsi="Arial" w:cs="Arial"/>
          <w:b/>
          <w:sz w:val="22"/>
          <w:szCs w:val="22"/>
        </w:rPr>
      </w:pPr>
      <w:r>
        <w:rPr>
          <w:rFonts w:ascii="Arial" w:hAnsi="Arial" w:cs="Arial"/>
          <w:b/>
          <w:sz w:val="22"/>
          <w:szCs w:val="22"/>
        </w:rPr>
        <w:t xml:space="preserve">The </w:t>
      </w:r>
      <w:r w:rsidR="008E7D40" w:rsidRPr="00943B4F">
        <w:rPr>
          <w:rFonts w:ascii="Arial" w:hAnsi="Arial" w:cs="Arial"/>
          <w:b/>
          <w:sz w:val="22"/>
          <w:szCs w:val="22"/>
        </w:rPr>
        <w:t>Thematic Call Window</w:t>
      </w:r>
    </w:p>
    <w:p w14:paraId="654E836A" w14:textId="55608562" w:rsidR="007A7316" w:rsidRDefault="008E7D40" w:rsidP="007A7316">
      <w:pPr>
        <w:spacing w:line="276" w:lineRule="auto"/>
        <w:jc w:val="both"/>
        <w:rPr>
          <w:rFonts w:ascii="Arial" w:hAnsi="Arial" w:cs="Arial"/>
          <w:sz w:val="22"/>
          <w:szCs w:val="22"/>
        </w:rPr>
      </w:pPr>
      <w:r w:rsidRPr="00686B16">
        <w:rPr>
          <w:rFonts w:ascii="Arial" w:hAnsi="Arial" w:cs="Arial"/>
          <w:sz w:val="22"/>
          <w:szCs w:val="22"/>
        </w:rPr>
        <w:t>Th</w:t>
      </w:r>
      <w:r w:rsidR="007A7316">
        <w:rPr>
          <w:rFonts w:ascii="Arial" w:hAnsi="Arial" w:cs="Arial"/>
          <w:sz w:val="22"/>
          <w:szCs w:val="22"/>
        </w:rPr>
        <w:t>e</w:t>
      </w:r>
      <w:r>
        <w:rPr>
          <w:rFonts w:ascii="Arial" w:hAnsi="Arial" w:cs="Arial"/>
          <w:sz w:val="22"/>
          <w:szCs w:val="22"/>
        </w:rPr>
        <w:t xml:space="preserve"> Thematic C</w:t>
      </w:r>
      <w:r w:rsidRPr="00686B16">
        <w:rPr>
          <w:rFonts w:ascii="Arial" w:hAnsi="Arial" w:cs="Arial"/>
          <w:sz w:val="22"/>
          <w:szCs w:val="22"/>
        </w:rPr>
        <w:t xml:space="preserve">all </w:t>
      </w:r>
      <w:r w:rsidR="007A7316">
        <w:rPr>
          <w:rFonts w:ascii="Arial" w:hAnsi="Arial" w:cs="Arial"/>
          <w:sz w:val="22"/>
          <w:szCs w:val="22"/>
        </w:rPr>
        <w:t xml:space="preserve">Window </w:t>
      </w:r>
      <w:r w:rsidRPr="00686B16">
        <w:rPr>
          <w:rFonts w:ascii="Arial" w:hAnsi="Arial" w:cs="Arial"/>
          <w:sz w:val="22"/>
          <w:szCs w:val="22"/>
        </w:rPr>
        <w:t xml:space="preserve">focuses </w:t>
      </w:r>
      <w:r>
        <w:rPr>
          <w:rFonts w:ascii="Arial" w:hAnsi="Arial" w:cs="Arial"/>
          <w:sz w:val="22"/>
          <w:szCs w:val="22"/>
        </w:rPr>
        <w:t xml:space="preserve">on Urban Governance and Management following a </w:t>
      </w:r>
      <w:r w:rsidR="007A7316">
        <w:rPr>
          <w:rFonts w:ascii="Arial" w:hAnsi="Arial" w:cs="Arial"/>
          <w:sz w:val="22"/>
          <w:szCs w:val="22"/>
        </w:rPr>
        <w:t>P</w:t>
      </w:r>
      <w:r>
        <w:rPr>
          <w:rFonts w:ascii="Arial" w:hAnsi="Arial" w:cs="Arial"/>
          <w:sz w:val="22"/>
          <w:szCs w:val="22"/>
        </w:rPr>
        <w:t xml:space="preserve">olitical </w:t>
      </w:r>
      <w:r w:rsidR="007A7316">
        <w:rPr>
          <w:rFonts w:ascii="Arial" w:hAnsi="Arial" w:cs="Arial"/>
          <w:sz w:val="22"/>
          <w:szCs w:val="22"/>
        </w:rPr>
        <w:t>E</w:t>
      </w:r>
      <w:r>
        <w:rPr>
          <w:rFonts w:ascii="Arial" w:hAnsi="Arial" w:cs="Arial"/>
          <w:sz w:val="22"/>
          <w:szCs w:val="22"/>
        </w:rPr>
        <w:t xml:space="preserve">conomy </w:t>
      </w:r>
      <w:r w:rsidR="007A7316">
        <w:rPr>
          <w:rFonts w:ascii="Arial" w:hAnsi="Arial" w:cs="Arial"/>
          <w:sz w:val="22"/>
          <w:szCs w:val="22"/>
        </w:rPr>
        <w:t>A</w:t>
      </w:r>
      <w:r>
        <w:rPr>
          <w:rFonts w:ascii="Arial" w:hAnsi="Arial" w:cs="Arial"/>
          <w:sz w:val="22"/>
          <w:szCs w:val="22"/>
        </w:rPr>
        <w:t xml:space="preserve">nalysis </w:t>
      </w:r>
      <w:r w:rsidR="007A7316">
        <w:rPr>
          <w:rFonts w:ascii="Arial" w:hAnsi="Arial" w:cs="Arial"/>
          <w:sz w:val="22"/>
          <w:szCs w:val="22"/>
        </w:rPr>
        <w:t xml:space="preserve">study </w:t>
      </w:r>
      <w:r>
        <w:rPr>
          <w:rFonts w:ascii="Arial" w:hAnsi="Arial" w:cs="Arial"/>
          <w:sz w:val="22"/>
          <w:szCs w:val="22"/>
        </w:rPr>
        <w:t>on State of Urban Governance and Management in Malawi which was conducted in 2019. The Call is looking for applications from NSAs that will bring out</w:t>
      </w:r>
      <w:r w:rsidRPr="00686B16">
        <w:rPr>
          <w:rFonts w:ascii="Arial" w:hAnsi="Arial" w:cs="Arial"/>
          <w:sz w:val="22"/>
          <w:szCs w:val="22"/>
        </w:rPr>
        <w:t xml:space="preserve"> innovative projects that are specifically designed to </w:t>
      </w:r>
      <w:r w:rsidR="006D6187" w:rsidRPr="00686B16">
        <w:rPr>
          <w:rFonts w:ascii="Arial" w:hAnsi="Arial" w:cs="Arial"/>
          <w:sz w:val="22"/>
          <w:szCs w:val="22"/>
        </w:rPr>
        <w:t>strengthen urban</w:t>
      </w:r>
      <w:r w:rsidRPr="00686B16">
        <w:rPr>
          <w:rFonts w:ascii="Arial" w:hAnsi="Arial" w:cs="Arial"/>
          <w:sz w:val="22"/>
          <w:szCs w:val="22"/>
        </w:rPr>
        <w:t xml:space="preserve"> govern</w:t>
      </w:r>
      <w:r w:rsidR="007A7316">
        <w:rPr>
          <w:rFonts w:ascii="Arial" w:hAnsi="Arial" w:cs="Arial"/>
          <w:sz w:val="22"/>
          <w:szCs w:val="22"/>
        </w:rPr>
        <w:t>ance and management</w:t>
      </w:r>
      <w:r w:rsidRPr="00686B16">
        <w:rPr>
          <w:rFonts w:ascii="Arial" w:hAnsi="Arial" w:cs="Arial"/>
          <w:sz w:val="22"/>
          <w:szCs w:val="22"/>
        </w:rPr>
        <w:t xml:space="preserve"> to promote citizen centered governance and development planning</w:t>
      </w:r>
      <w:r w:rsidR="007A7316">
        <w:rPr>
          <w:rFonts w:ascii="Arial" w:hAnsi="Arial" w:cs="Arial"/>
          <w:sz w:val="22"/>
          <w:szCs w:val="22"/>
        </w:rPr>
        <w:t>,</w:t>
      </w:r>
      <w:r w:rsidRPr="00686B16">
        <w:rPr>
          <w:rFonts w:ascii="Arial" w:hAnsi="Arial" w:cs="Arial"/>
          <w:sz w:val="22"/>
          <w:szCs w:val="22"/>
        </w:rPr>
        <w:t xml:space="preserve"> and create an empowered active citizenry. </w:t>
      </w:r>
    </w:p>
    <w:p w14:paraId="10145C0B" w14:textId="77777777" w:rsidR="007A7316" w:rsidRDefault="007A7316" w:rsidP="007A7316">
      <w:pPr>
        <w:spacing w:line="276" w:lineRule="auto"/>
        <w:jc w:val="both"/>
        <w:rPr>
          <w:rFonts w:ascii="Arial" w:hAnsi="Arial" w:cs="Arial"/>
          <w:sz w:val="22"/>
          <w:szCs w:val="22"/>
        </w:rPr>
      </w:pPr>
    </w:p>
    <w:p w14:paraId="781BC000" w14:textId="49C3C7AA" w:rsidR="008E7D40" w:rsidRDefault="008E7D40" w:rsidP="006D6187">
      <w:pPr>
        <w:spacing w:line="276" w:lineRule="auto"/>
        <w:jc w:val="both"/>
        <w:rPr>
          <w:rFonts w:ascii="Arial" w:hAnsi="Arial" w:cs="Arial"/>
          <w:sz w:val="22"/>
          <w:szCs w:val="22"/>
        </w:rPr>
      </w:pPr>
      <w:r>
        <w:rPr>
          <w:rFonts w:ascii="Arial" w:hAnsi="Arial" w:cs="Arial"/>
          <w:sz w:val="22"/>
          <w:szCs w:val="22"/>
        </w:rPr>
        <w:t>This is planned to be achieved through</w:t>
      </w:r>
      <w:r w:rsidR="007A7316">
        <w:rPr>
          <w:rFonts w:ascii="Arial" w:hAnsi="Arial" w:cs="Arial"/>
          <w:sz w:val="22"/>
          <w:szCs w:val="22"/>
        </w:rPr>
        <w:t xml:space="preserve">: </w:t>
      </w:r>
      <w:r>
        <w:rPr>
          <w:rFonts w:ascii="Arial" w:hAnsi="Arial" w:cs="Arial"/>
          <w:sz w:val="22"/>
          <w:szCs w:val="22"/>
        </w:rPr>
        <w:t>creation of</w:t>
      </w:r>
      <w:r w:rsidRPr="00686B16">
        <w:rPr>
          <w:rFonts w:ascii="Arial" w:hAnsi="Arial" w:cs="Arial"/>
          <w:sz w:val="22"/>
          <w:szCs w:val="22"/>
        </w:rPr>
        <w:t xml:space="preserve"> an alliance of CSOs with other partners that can share knowledge and skills on urban governance and management in Malawi</w:t>
      </w:r>
      <w:r>
        <w:rPr>
          <w:rFonts w:ascii="Arial" w:hAnsi="Arial" w:cs="Arial"/>
          <w:sz w:val="22"/>
          <w:szCs w:val="22"/>
        </w:rPr>
        <w:t>; engaging</w:t>
      </w:r>
      <w:r w:rsidRPr="00686B16">
        <w:rPr>
          <w:rFonts w:ascii="Arial" w:hAnsi="Arial" w:cs="Arial"/>
          <w:sz w:val="22"/>
          <w:szCs w:val="22"/>
        </w:rPr>
        <w:t xml:space="preserve"> with relevant actors</w:t>
      </w:r>
      <w:r w:rsidR="0077363C">
        <w:rPr>
          <w:rFonts w:ascii="Arial" w:hAnsi="Arial" w:cs="Arial"/>
          <w:sz w:val="22"/>
          <w:szCs w:val="22"/>
        </w:rPr>
        <w:t xml:space="preserve"> </w:t>
      </w:r>
      <w:r>
        <w:rPr>
          <w:rFonts w:ascii="Arial" w:hAnsi="Arial" w:cs="Arial"/>
          <w:sz w:val="22"/>
          <w:szCs w:val="22"/>
        </w:rPr>
        <w:t xml:space="preserve">and </w:t>
      </w:r>
      <w:r w:rsidRPr="00686B16">
        <w:rPr>
          <w:rFonts w:ascii="Arial" w:hAnsi="Arial" w:cs="Arial"/>
          <w:sz w:val="22"/>
          <w:szCs w:val="22"/>
        </w:rPr>
        <w:t>advocate for institutional changes in urban development planning</w:t>
      </w:r>
      <w:r>
        <w:rPr>
          <w:rFonts w:ascii="Arial" w:hAnsi="Arial" w:cs="Arial"/>
          <w:sz w:val="22"/>
          <w:szCs w:val="22"/>
        </w:rPr>
        <w:t>.</w:t>
      </w:r>
      <w:r w:rsidRPr="00686B16">
        <w:rPr>
          <w:rFonts w:ascii="Arial" w:hAnsi="Arial" w:cs="Arial"/>
          <w:sz w:val="22"/>
          <w:szCs w:val="22"/>
        </w:rPr>
        <w:t xml:space="preserve"> Eligible projects under this call may be </w:t>
      </w:r>
      <w:r w:rsidRPr="00686B16">
        <w:rPr>
          <w:rFonts w:ascii="Arial" w:hAnsi="Arial" w:cs="Arial"/>
          <w:bCs/>
          <w:sz w:val="22"/>
          <w:szCs w:val="22"/>
        </w:rPr>
        <w:t>new or those that seek to build on existing projects</w:t>
      </w:r>
      <w:r>
        <w:rPr>
          <w:rFonts w:ascii="Arial" w:hAnsi="Arial" w:cs="Arial"/>
          <w:sz w:val="22"/>
          <w:szCs w:val="22"/>
        </w:rPr>
        <w:t xml:space="preserve"> that contribute to any of the following aspirations</w:t>
      </w:r>
      <w:r w:rsidR="007A7316">
        <w:rPr>
          <w:rFonts w:ascii="Arial" w:hAnsi="Arial" w:cs="Arial"/>
          <w:sz w:val="22"/>
          <w:szCs w:val="22"/>
        </w:rPr>
        <w:t xml:space="preserve">: </w:t>
      </w:r>
    </w:p>
    <w:p w14:paraId="5BA1AE11" w14:textId="77777777" w:rsidR="008E7D40" w:rsidRPr="00686B16" w:rsidRDefault="008E7D40" w:rsidP="006D6187">
      <w:pPr>
        <w:spacing w:line="276" w:lineRule="auto"/>
        <w:jc w:val="both"/>
        <w:rPr>
          <w:rFonts w:ascii="Arial" w:hAnsi="Arial" w:cs="Arial"/>
          <w:sz w:val="22"/>
          <w:szCs w:val="22"/>
        </w:rPr>
      </w:pPr>
    </w:p>
    <w:p w14:paraId="649FBBEF" w14:textId="77777777" w:rsidR="008E7D40" w:rsidRDefault="008E7D40" w:rsidP="006D6187">
      <w:pPr>
        <w:numPr>
          <w:ilvl w:val="0"/>
          <w:numId w:val="2"/>
        </w:numPr>
        <w:spacing w:line="276" w:lineRule="auto"/>
        <w:jc w:val="both"/>
        <w:rPr>
          <w:rFonts w:ascii="Arial" w:hAnsi="Arial" w:cs="Arial"/>
          <w:sz w:val="22"/>
          <w:szCs w:val="22"/>
          <w:lang w:val="en-ZA"/>
        </w:rPr>
      </w:pPr>
      <w:r>
        <w:rPr>
          <w:rFonts w:ascii="Arial" w:hAnsi="Arial" w:cs="Arial"/>
          <w:sz w:val="22"/>
          <w:szCs w:val="22"/>
          <w:lang w:val="en-ZA"/>
        </w:rPr>
        <w:t>Increasing local revenue generation in urban councils</w:t>
      </w:r>
    </w:p>
    <w:p w14:paraId="5EF9A008" w14:textId="77777777" w:rsidR="008E7D40" w:rsidRDefault="008E7D40" w:rsidP="006D6187">
      <w:pPr>
        <w:numPr>
          <w:ilvl w:val="0"/>
          <w:numId w:val="2"/>
        </w:numPr>
        <w:spacing w:line="276" w:lineRule="auto"/>
        <w:jc w:val="both"/>
        <w:rPr>
          <w:rFonts w:ascii="Arial" w:hAnsi="Arial" w:cs="Arial"/>
          <w:sz w:val="22"/>
          <w:szCs w:val="22"/>
          <w:lang w:val="en-ZA"/>
        </w:rPr>
      </w:pPr>
      <w:r>
        <w:rPr>
          <w:rFonts w:ascii="Arial" w:hAnsi="Arial" w:cs="Arial"/>
          <w:sz w:val="22"/>
          <w:szCs w:val="22"/>
          <w:lang w:val="en-ZA"/>
        </w:rPr>
        <w:t>Influencing placement of waste management at the centre of priorities for central government and urban councils</w:t>
      </w:r>
    </w:p>
    <w:p w14:paraId="297D3570" w14:textId="77777777" w:rsidR="008E7D40" w:rsidRDefault="008E7D40" w:rsidP="006D6187">
      <w:pPr>
        <w:numPr>
          <w:ilvl w:val="0"/>
          <w:numId w:val="2"/>
        </w:numPr>
        <w:spacing w:line="276" w:lineRule="auto"/>
        <w:jc w:val="both"/>
        <w:rPr>
          <w:rFonts w:ascii="Arial" w:hAnsi="Arial" w:cs="Arial"/>
          <w:sz w:val="22"/>
          <w:szCs w:val="22"/>
          <w:lang w:val="en-ZA"/>
        </w:rPr>
      </w:pPr>
      <w:r>
        <w:rPr>
          <w:rFonts w:ascii="Arial" w:hAnsi="Arial" w:cs="Arial"/>
          <w:sz w:val="22"/>
          <w:szCs w:val="22"/>
          <w:lang w:val="en-ZA"/>
        </w:rPr>
        <w:t>Freeing urban councils from political interference/capture</w:t>
      </w:r>
    </w:p>
    <w:p w14:paraId="4377DE0F" w14:textId="77777777" w:rsidR="008E7D40" w:rsidRDefault="008E7D40" w:rsidP="006D6187">
      <w:pPr>
        <w:numPr>
          <w:ilvl w:val="0"/>
          <w:numId w:val="2"/>
        </w:numPr>
        <w:spacing w:line="276" w:lineRule="auto"/>
        <w:jc w:val="both"/>
        <w:rPr>
          <w:rFonts w:ascii="Arial" w:hAnsi="Arial" w:cs="Arial"/>
          <w:sz w:val="22"/>
          <w:szCs w:val="22"/>
          <w:lang w:val="en-ZA"/>
        </w:rPr>
      </w:pPr>
      <w:r>
        <w:rPr>
          <w:rFonts w:ascii="Arial" w:hAnsi="Arial" w:cs="Arial"/>
          <w:sz w:val="22"/>
          <w:szCs w:val="22"/>
          <w:lang w:val="en-ZA"/>
        </w:rPr>
        <w:t>Strengthening urban governance forum</w:t>
      </w:r>
      <w:r w:rsidR="008E7FFC">
        <w:rPr>
          <w:rFonts w:ascii="Arial" w:hAnsi="Arial" w:cs="Arial"/>
          <w:sz w:val="22"/>
          <w:szCs w:val="22"/>
          <w:lang w:val="en-ZA"/>
        </w:rPr>
        <w:t>s</w:t>
      </w:r>
    </w:p>
    <w:p w14:paraId="688EAD27" w14:textId="77777777" w:rsidR="008E7D40" w:rsidRDefault="008E7D40" w:rsidP="006D6187">
      <w:pPr>
        <w:numPr>
          <w:ilvl w:val="0"/>
          <w:numId w:val="2"/>
        </w:numPr>
        <w:spacing w:line="276" w:lineRule="auto"/>
        <w:jc w:val="both"/>
        <w:rPr>
          <w:rFonts w:ascii="Arial" w:hAnsi="Arial" w:cs="Arial"/>
          <w:sz w:val="22"/>
          <w:szCs w:val="22"/>
          <w:lang w:val="en-ZA"/>
        </w:rPr>
      </w:pPr>
      <w:r>
        <w:rPr>
          <w:rFonts w:ascii="Arial" w:hAnsi="Arial" w:cs="Arial"/>
          <w:sz w:val="22"/>
          <w:szCs w:val="22"/>
          <w:lang w:val="en-ZA"/>
        </w:rPr>
        <w:t>Influencing policy and law reform in urban management</w:t>
      </w:r>
    </w:p>
    <w:p w14:paraId="3CC8466F" w14:textId="77777777" w:rsidR="008E7D40" w:rsidRPr="00686B16" w:rsidRDefault="008E7D40" w:rsidP="006D6187">
      <w:pPr>
        <w:spacing w:line="276" w:lineRule="auto"/>
        <w:ind w:left="720"/>
        <w:jc w:val="both"/>
        <w:rPr>
          <w:rFonts w:ascii="Arial" w:hAnsi="Arial" w:cs="Arial"/>
          <w:sz w:val="22"/>
          <w:szCs w:val="22"/>
          <w:lang w:val="en-ZA"/>
        </w:rPr>
      </w:pPr>
    </w:p>
    <w:p w14:paraId="6A42F6F9" w14:textId="77777777" w:rsidR="008E7D40" w:rsidRPr="00686B16" w:rsidRDefault="008E7D40" w:rsidP="006D6187">
      <w:pPr>
        <w:spacing w:line="276" w:lineRule="auto"/>
        <w:jc w:val="both"/>
        <w:rPr>
          <w:rFonts w:ascii="Arial" w:hAnsi="Arial" w:cs="Arial"/>
          <w:sz w:val="22"/>
          <w:szCs w:val="22"/>
        </w:rPr>
      </w:pPr>
      <w:r w:rsidRPr="00686B16">
        <w:rPr>
          <w:rFonts w:ascii="Arial" w:hAnsi="Arial" w:cs="Arial"/>
          <w:b/>
          <w:bCs/>
          <w:sz w:val="22"/>
          <w:szCs w:val="22"/>
        </w:rPr>
        <w:t>Eligible organisations</w:t>
      </w:r>
    </w:p>
    <w:p w14:paraId="2609A8D1" w14:textId="3F748773" w:rsidR="008E7D40" w:rsidRDefault="008E7D40" w:rsidP="007A7316">
      <w:pPr>
        <w:spacing w:line="276" w:lineRule="auto"/>
        <w:jc w:val="both"/>
        <w:rPr>
          <w:rFonts w:ascii="Arial" w:hAnsi="Arial" w:cs="Arial"/>
          <w:sz w:val="22"/>
          <w:szCs w:val="22"/>
        </w:rPr>
      </w:pPr>
      <w:r w:rsidRPr="00686B16">
        <w:rPr>
          <w:rFonts w:ascii="Arial" w:hAnsi="Arial" w:cs="Arial"/>
          <w:sz w:val="22"/>
          <w:szCs w:val="22"/>
        </w:rPr>
        <w:t xml:space="preserve">All registered </w:t>
      </w:r>
      <w:r w:rsidR="008E7FFC">
        <w:rPr>
          <w:rFonts w:ascii="Arial" w:hAnsi="Arial" w:cs="Arial"/>
          <w:sz w:val="22"/>
          <w:szCs w:val="22"/>
        </w:rPr>
        <w:t xml:space="preserve">NSAs including </w:t>
      </w:r>
      <w:r w:rsidRPr="00686B16">
        <w:rPr>
          <w:rFonts w:ascii="Arial" w:hAnsi="Arial" w:cs="Arial"/>
          <w:sz w:val="22"/>
          <w:szCs w:val="22"/>
        </w:rPr>
        <w:t>civil society organisations (CSOs</w:t>
      </w:r>
      <w:r w:rsidR="006D6187" w:rsidRPr="00686B16">
        <w:rPr>
          <w:rFonts w:ascii="Arial" w:hAnsi="Arial" w:cs="Arial"/>
          <w:sz w:val="22"/>
          <w:szCs w:val="22"/>
        </w:rPr>
        <w:t>), research</w:t>
      </w:r>
      <w:r w:rsidRPr="00686B16">
        <w:rPr>
          <w:rFonts w:ascii="Arial" w:hAnsi="Arial" w:cs="Arial"/>
          <w:sz w:val="22"/>
          <w:szCs w:val="22"/>
        </w:rPr>
        <w:t xml:space="preserve"> and policy advocacy </w:t>
      </w:r>
      <w:r w:rsidR="008E7FFC">
        <w:rPr>
          <w:rFonts w:ascii="Arial" w:hAnsi="Arial" w:cs="Arial"/>
          <w:sz w:val="22"/>
          <w:szCs w:val="22"/>
        </w:rPr>
        <w:t>institutions</w:t>
      </w:r>
      <w:r w:rsidRPr="00686B16">
        <w:rPr>
          <w:rFonts w:ascii="Arial" w:hAnsi="Arial" w:cs="Arial"/>
          <w:sz w:val="22"/>
          <w:szCs w:val="22"/>
        </w:rPr>
        <w:t xml:space="preserve"> faith-based organizations, the media, the academia, trade unions, professional bodies, registered coalitions/networks/platforms. Tilitonse Foundation emphasises collaboration and </w:t>
      </w:r>
      <w:r w:rsidR="008E7FFC">
        <w:rPr>
          <w:rFonts w:ascii="Arial" w:hAnsi="Arial" w:cs="Arial"/>
          <w:sz w:val="22"/>
          <w:szCs w:val="22"/>
        </w:rPr>
        <w:t>coalition building as a key approach to project implementation under this funding window</w:t>
      </w:r>
      <w:r w:rsidRPr="00686B16">
        <w:rPr>
          <w:rFonts w:ascii="Arial" w:hAnsi="Arial" w:cs="Arial"/>
          <w:sz w:val="22"/>
          <w:szCs w:val="22"/>
        </w:rPr>
        <w:t>. Therefore</w:t>
      </w:r>
      <w:r>
        <w:rPr>
          <w:rFonts w:ascii="Arial" w:hAnsi="Arial" w:cs="Arial"/>
          <w:sz w:val="22"/>
          <w:szCs w:val="22"/>
        </w:rPr>
        <w:t xml:space="preserve">, </w:t>
      </w:r>
      <w:r w:rsidRPr="00686B16">
        <w:rPr>
          <w:rFonts w:ascii="Arial" w:hAnsi="Arial" w:cs="Arial"/>
          <w:sz w:val="22"/>
          <w:szCs w:val="22"/>
        </w:rPr>
        <w:t xml:space="preserve">organisations are encouraged to build partnerships with various stakeholders/actors to enable more innovative and effective linkages between sub-national and national level actions. </w:t>
      </w:r>
      <w:r>
        <w:rPr>
          <w:rFonts w:ascii="Arial" w:hAnsi="Arial" w:cs="Arial"/>
          <w:sz w:val="22"/>
          <w:szCs w:val="22"/>
        </w:rPr>
        <w:t>P</w:t>
      </w:r>
      <w:r w:rsidRPr="00686B16">
        <w:rPr>
          <w:rFonts w:ascii="Arial" w:hAnsi="Arial" w:cs="Arial"/>
          <w:sz w:val="22"/>
          <w:szCs w:val="22"/>
        </w:rPr>
        <w:t xml:space="preserve">articular priority will be given to proposals that build partnerships and alliances with various stakeholders including other non-state actors at the national level, </w:t>
      </w:r>
      <w:r>
        <w:rPr>
          <w:rFonts w:ascii="Arial" w:hAnsi="Arial" w:cs="Arial"/>
          <w:sz w:val="22"/>
          <w:szCs w:val="22"/>
        </w:rPr>
        <w:t>community based organizations and</w:t>
      </w:r>
      <w:r w:rsidRPr="00686B16">
        <w:rPr>
          <w:rFonts w:ascii="Arial" w:hAnsi="Arial" w:cs="Arial"/>
          <w:sz w:val="22"/>
          <w:szCs w:val="22"/>
        </w:rPr>
        <w:t xml:space="preserve"> </w:t>
      </w:r>
      <w:r>
        <w:rPr>
          <w:rFonts w:ascii="Arial" w:hAnsi="Arial" w:cs="Arial"/>
          <w:sz w:val="22"/>
          <w:szCs w:val="22"/>
        </w:rPr>
        <w:t>faith based organizations</w:t>
      </w:r>
      <w:r w:rsidRPr="00686B16">
        <w:rPr>
          <w:rFonts w:ascii="Arial" w:hAnsi="Arial" w:cs="Arial"/>
          <w:sz w:val="22"/>
          <w:szCs w:val="22"/>
        </w:rPr>
        <w:t xml:space="preserve"> at the local level, the media, the academia, central ministries, and their agencies to come up with strategic activities in any of the issues identified.</w:t>
      </w:r>
    </w:p>
    <w:p w14:paraId="747D2E2D" w14:textId="6FF31185" w:rsidR="0053729F" w:rsidRDefault="0053729F" w:rsidP="007A7316">
      <w:pPr>
        <w:spacing w:line="276" w:lineRule="auto"/>
        <w:jc w:val="both"/>
        <w:rPr>
          <w:rFonts w:ascii="Arial" w:hAnsi="Arial" w:cs="Arial"/>
          <w:sz w:val="22"/>
          <w:szCs w:val="22"/>
        </w:rPr>
      </w:pPr>
    </w:p>
    <w:p w14:paraId="5AF3FBF9" w14:textId="0615ED84" w:rsidR="0053729F" w:rsidRPr="0053729F" w:rsidRDefault="0053729F" w:rsidP="007A7316">
      <w:pPr>
        <w:spacing w:line="276" w:lineRule="auto"/>
        <w:jc w:val="both"/>
        <w:rPr>
          <w:rFonts w:ascii="Arial" w:hAnsi="Arial" w:cs="Arial"/>
          <w:b/>
          <w:sz w:val="22"/>
          <w:szCs w:val="22"/>
        </w:rPr>
      </w:pPr>
      <w:r w:rsidRPr="0053729F">
        <w:rPr>
          <w:rFonts w:ascii="Arial" w:hAnsi="Arial" w:cs="Arial"/>
          <w:b/>
          <w:sz w:val="22"/>
          <w:szCs w:val="22"/>
        </w:rPr>
        <w:t>Project Duration and Application Limits</w:t>
      </w:r>
    </w:p>
    <w:p w14:paraId="12459794" w14:textId="36FA63FF" w:rsidR="0053729F" w:rsidRDefault="0053729F" w:rsidP="007A7316">
      <w:pPr>
        <w:spacing w:line="276" w:lineRule="auto"/>
        <w:jc w:val="both"/>
        <w:rPr>
          <w:rFonts w:ascii="Arial" w:hAnsi="Arial" w:cs="Arial"/>
          <w:sz w:val="22"/>
          <w:szCs w:val="22"/>
        </w:rPr>
      </w:pPr>
      <w:r>
        <w:rPr>
          <w:rFonts w:ascii="Arial" w:hAnsi="Arial" w:cs="Arial"/>
          <w:sz w:val="22"/>
          <w:szCs w:val="22"/>
        </w:rPr>
        <w:t>The projects are expected to run up to a maximum of 18 months from October, 2020. Grant amount range is from 140 000 Euros to 180 000 Euros.</w:t>
      </w:r>
    </w:p>
    <w:p w14:paraId="5B9E2527" w14:textId="77777777" w:rsidR="008E7FFC" w:rsidRDefault="008E7FFC" w:rsidP="007A7316">
      <w:pPr>
        <w:spacing w:line="276" w:lineRule="auto"/>
        <w:jc w:val="both"/>
        <w:rPr>
          <w:rFonts w:ascii="Arial" w:hAnsi="Arial" w:cs="Arial"/>
          <w:sz w:val="22"/>
          <w:szCs w:val="22"/>
        </w:rPr>
      </w:pPr>
    </w:p>
    <w:p w14:paraId="102046E4" w14:textId="77777777" w:rsidR="008E7D40" w:rsidRPr="00C5681F" w:rsidRDefault="008E7D40" w:rsidP="006D6187">
      <w:pPr>
        <w:spacing w:line="276" w:lineRule="auto"/>
        <w:jc w:val="both"/>
        <w:rPr>
          <w:rFonts w:ascii="Arial" w:hAnsi="Arial" w:cs="Arial"/>
          <w:b/>
          <w:sz w:val="22"/>
          <w:szCs w:val="22"/>
        </w:rPr>
      </w:pPr>
      <w:r w:rsidRPr="00C5681F">
        <w:rPr>
          <w:rFonts w:ascii="Arial" w:hAnsi="Arial" w:cs="Arial"/>
          <w:b/>
          <w:sz w:val="22"/>
          <w:szCs w:val="22"/>
        </w:rPr>
        <w:t>Method of Application</w:t>
      </w:r>
    </w:p>
    <w:p w14:paraId="414C60C2" w14:textId="1A32A487" w:rsidR="008E7D40" w:rsidRDefault="008E7D40" w:rsidP="006D6187">
      <w:pPr>
        <w:spacing w:line="276" w:lineRule="auto"/>
        <w:jc w:val="both"/>
        <w:rPr>
          <w:rFonts w:ascii="Arial" w:hAnsi="Arial" w:cs="Arial"/>
          <w:sz w:val="22"/>
          <w:szCs w:val="22"/>
          <w:lang w:val="en-ZA"/>
        </w:rPr>
      </w:pPr>
      <w:r>
        <w:rPr>
          <w:rFonts w:ascii="Arial" w:hAnsi="Arial" w:cs="Arial"/>
          <w:sz w:val="22"/>
          <w:szCs w:val="22"/>
        </w:rPr>
        <w:t>A</w:t>
      </w:r>
      <w:r w:rsidR="008E7FFC">
        <w:rPr>
          <w:rFonts w:ascii="Arial" w:hAnsi="Arial" w:cs="Arial"/>
          <w:sz w:val="22"/>
          <w:szCs w:val="22"/>
        </w:rPr>
        <w:t xml:space="preserve">pplications are </w:t>
      </w:r>
      <w:r w:rsidR="00537588">
        <w:rPr>
          <w:rFonts w:ascii="Arial" w:hAnsi="Arial" w:cs="Arial"/>
          <w:sz w:val="22"/>
          <w:szCs w:val="22"/>
        </w:rPr>
        <w:t>invited for</w:t>
      </w:r>
      <w:r>
        <w:rPr>
          <w:rFonts w:ascii="Arial" w:hAnsi="Arial" w:cs="Arial"/>
          <w:sz w:val="22"/>
          <w:szCs w:val="22"/>
        </w:rPr>
        <w:t xml:space="preserve"> any combination of the focus areas highlighted.</w:t>
      </w:r>
      <w:r w:rsidRPr="00686B16">
        <w:rPr>
          <w:rFonts w:ascii="Arial" w:hAnsi="Arial" w:cs="Arial"/>
          <w:sz w:val="22"/>
          <w:szCs w:val="22"/>
        </w:rPr>
        <w:t xml:space="preserve"> </w:t>
      </w:r>
      <w:r>
        <w:rPr>
          <w:rFonts w:ascii="Arial" w:hAnsi="Arial" w:cs="Arial"/>
          <w:sz w:val="22"/>
          <w:szCs w:val="22"/>
          <w:lang w:val="en-ZA"/>
        </w:rPr>
        <w:t xml:space="preserve">Applicants are expected to make reference to the </w:t>
      </w:r>
      <w:r w:rsidR="006D6187">
        <w:rPr>
          <w:rFonts w:ascii="Arial" w:hAnsi="Arial" w:cs="Arial"/>
          <w:sz w:val="22"/>
          <w:szCs w:val="22"/>
          <w:lang w:val="en-ZA"/>
        </w:rPr>
        <w:t>Political Economy Analysis Report on Urban Governance and Management</w:t>
      </w:r>
      <w:r>
        <w:rPr>
          <w:rFonts w:ascii="Arial" w:hAnsi="Arial" w:cs="Arial"/>
          <w:sz w:val="22"/>
          <w:szCs w:val="22"/>
          <w:lang w:val="en-ZA"/>
        </w:rPr>
        <w:t xml:space="preserve"> to guide development of the</w:t>
      </w:r>
      <w:r w:rsidR="008E7FFC">
        <w:rPr>
          <w:rFonts w:ascii="Arial" w:hAnsi="Arial" w:cs="Arial"/>
          <w:sz w:val="22"/>
          <w:szCs w:val="22"/>
          <w:lang w:val="en-ZA"/>
        </w:rPr>
        <w:t>ir</w:t>
      </w:r>
      <w:r>
        <w:rPr>
          <w:rFonts w:ascii="Arial" w:hAnsi="Arial" w:cs="Arial"/>
          <w:sz w:val="22"/>
          <w:szCs w:val="22"/>
          <w:lang w:val="en-ZA"/>
        </w:rPr>
        <w:t xml:space="preserve"> proposals. </w:t>
      </w:r>
      <w:r w:rsidR="002A17A2">
        <w:rPr>
          <w:rFonts w:ascii="Arial" w:hAnsi="Arial" w:cs="Arial"/>
          <w:sz w:val="22"/>
          <w:szCs w:val="22"/>
          <w:lang w:val="en-ZA"/>
        </w:rPr>
        <w:t xml:space="preserve">One of the documents that has been shared on the website is the Tilitonse Foundation logframe. </w:t>
      </w:r>
      <w:r w:rsidR="002A17A2">
        <w:rPr>
          <w:rFonts w:ascii="Arial" w:hAnsi="Arial" w:cs="Arial"/>
          <w:sz w:val="22"/>
          <w:szCs w:val="22"/>
          <w:lang w:val="en-ZA"/>
        </w:rPr>
        <w:lastRenderedPageBreak/>
        <w:t xml:space="preserve">Make reference to it as you align your result framework to relevant result areas and indicators which your project will contribute to. </w:t>
      </w:r>
      <w:bookmarkStart w:id="0" w:name="_GoBack"/>
      <w:bookmarkEnd w:id="0"/>
      <w:r w:rsidR="008E7FFC">
        <w:rPr>
          <w:rFonts w:ascii="Arial" w:hAnsi="Arial" w:cs="Arial"/>
          <w:sz w:val="22"/>
          <w:szCs w:val="22"/>
          <w:lang w:val="en-ZA"/>
        </w:rPr>
        <w:t xml:space="preserve">Submission for the Call should </w:t>
      </w:r>
      <w:r w:rsidR="006D6187">
        <w:rPr>
          <w:rFonts w:ascii="Arial" w:hAnsi="Arial" w:cs="Arial"/>
          <w:sz w:val="22"/>
          <w:szCs w:val="22"/>
          <w:lang w:val="en-ZA"/>
        </w:rPr>
        <w:t>be at</w:t>
      </w:r>
      <w:r>
        <w:rPr>
          <w:rFonts w:ascii="Arial" w:hAnsi="Arial" w:cs="Arial"/>
          <w:sz w:val="22"/>
          <w:szCs w:val="22"/>
          <w:lang w:val="en-ZA"/>
        </w:rPr>
        <w:t xml:space="preserve"> full proposal level and the </w:t>
      </w:r>
      <w:r w:rsidR="008E7FFC">
        <w:rPr>
          <w:rFonts w:ascii="Arial" w:hAnsi="Arial" w:cs="Arial"/>
          <w:sz w:val="22"/>
          <w:szCs w:val="22"/>
          <w:lang w:val="en-ZA"/>
        </w:rPr>
        <w:t xml:space="preserve">submission should </w:t>
      </w:r>
      <w:r w:rsidR="006D6187">
        <w:rPr>
          <w:rFonts w:ascii="Arial" w:hAnsi="Arial" w:cs="Arial"/>
          <w:sz w:val="22"/>
          <w:szCs w:val="22"/>
          <w:lang w:val="en-ZA"/>
        </w:rPr>
        <w:t>include both</w:t>
      </w:r>
      <w:r>
        <w:rPr>
          <w:rFonts w:ascii="Arial" w:hAnsi="Arial" w:cs="Arial"/>
          <w:sz w:val="22"/>
          <w:szCs w:val="22"/>
          <w:lang w:val="en-ZA"/>
        </w:rPr>
        <w:t xml:space="preserve"> the </w:t>
      </w:r>
      <w:r w:rsidR="006D6187">
        <w:rPr>
          <w:rFonts w:ascii="Arial" w:hAnsi="Arial" w:cs="Arial"/>
          <w:sz w:val="22"/>
          <w:szCs w:val="22"/>
          <w:lang w:val="en-ZA"/>
        </w:rPr>
        <w:t>technical and</w:t>
      </w:r>
      <w:r>
        <w:rPr>
          <w:rFonts w:ascii="Arial" w:hAnsi="Arial" w:cs="Arial"/>
          <w:sz w:val="22"/>
          <w:szCs w:val="22"/>
          <w:lang w:val="en-ZA"/>
        </w:rPr>
        <w:t xml:space="preserve"> </w:t>
      </w:r>
      <w:r w:rsidR="008E7FFC">
        <w:rPr>
          <w:rFonts w:ascii="Arial" w:hAnsi="Arial" w:cs="Arial"/>
          <w:sz w:val="22"/>
          <w:szCs w:val="22"/>
          <w:lang w:val="en-ZA"/>
        </w:rPr>
        <w:t>financial aspects</w:t>
      </w:r>
      <w:r>
        <w:rPr>
          <w:rFonts w:ascii="Arial" w:hAnsi="Arial" w:cs="Arial"/>
          <w:sz w:val="22"/>
          <w:szCs w:val="22"/>
          <w:lang w:val="en-ZA"/>
        </w:rPr>
        <w:t xml:space="preserve">. </w:t>
      </w:r>
      <w:r w:rsidR="008E7FFC">
        <w:rPr>
          <w:rFonts w:ascii="Arial" w:hAnsi="Arial" w:cs="Arial"/>
          <w:sz w:val="22"/>
          <w:szCs w:val="22"/>
          <w:lang w:val="en-ZA"/>
        </w:rPr>
        <w:t xml:space="preserve">Proposal </w:t>
      </w:r>
      <w:r>
        <w:rPr>
          <w:rFonts w:ascii="Arial" w:hAnsi="Arial" w:cs="Arial"/>
          <w:sz w:val="22"/>
          <w:szCs w:val="22"/>
          <w:lang w:val="en-ZA"/>
        </w:rPr>
        <w:t xml:space="preserve">templates </w:t>
      </w:r>
      <w:r w:rsidR="008E7FFC">
        <w:rPr>
          <w:rFonts w:ascii="Arial" w:hAnsi="Arial" w:cs="Arial"/>
          <w:sz w:val="22"/>
          <w:szCs w:val="22"/>
          <w:lang w:val="en-ZA"/>
        </w:rPr>
        <w:t xml:space="preserve">for both technical and financial aspects </w:t>
      </w:r>
      <w:r>
        <w:rPr>
          <w:rFonts w:ascii="Arial" w:hAnsi="Arial" w:cs="Arial"/>
          <w:sz w:val="22"/>
          <w:szCs w:val="22"/>
          <w:lang w:val="en-ZA"/>
        </w:rPr>
        <w:t xml:space="preserve">and the </w:t>
      </w:r>
      <w:r w:rsidR="008E7FFC">
        <w:rPr>
          <w:rFonts w:ascii="Arial" w:hAnsi="Arial" w:cs="Arial"/>
          <w:sz w:val="22"/>
          <w:szCs w:val="22"/>
          <w:lang w:val="en-ZA"/>
        </w:rPr>
        <w:t xml:space="preserve">PEA </w:t>
      </w:r>
      <w:r>
        <w:rPr>
          <w:rFonts w:ascii="Arial" w:hAnsi="Arial" w:cs="Arial"/>
          <w:sz w:val="22"/>
          <w:szCs w:val="22"/>
          <w:lang w:val="en-ZA"/>
        </w:rPr>
        <w:t xml:space="preserve">report are available on Tilitonse Foundation’s website </w:t>
      </w:r>
      <w:r w:rsidR="008E7FFC">
        <w:rPr>
          <w:rFonts w:ascii="Arial" w:hAnsi="Arial" w:cs="Arial"/>
          <w:sz w:val="22"/>
          <w:szCs w:val="22"/>
          <w:lang w:val="en-ZA"/>
        </w:rPr>
        <w:t>(</w:t>
      </w:r>
      <w:hyperlink r:id="rId9" w:history="1">
        <w:r w:rsidR="008E7FFC" w:rsidRPr="006E4464">
          <w:rPr>
            <w:rStyle w:val="Hyperlink"/>
            <w:rFonts w:ascii="Arial" w:hAnsi="Arial" w:cs="Arial"/>
            <w:sz w:val="22"/>
            <w:szCs w:val="22"/>
            <w:lang w:val="en-ZA"/>
          </w:rPr>
          <w:t>www.tilitonsefoundation.org</w:t>
        </w:r>
      </w:hyperlink>
      <w:r w:rsidR="008E7FFC">
        <w:rPr>
          <w:rFonts w:ascii="Arial" w:hAnsi="Arial" w:cs="Arial"/>
          <w:sz w:val="22"/>
          <w:szCs w:val="22"/>
          <w:lang w:val="en-ZA"/>
        </w:rPr>
        <w:t xml:space="preserve">) </w:t>
      </w:r>
      <w:r>
        <w:rPr>
          <w:rFonts w:ascii="Arial" w:hAnsi="Arial" w:cs="Arial"/>
          <w:sz w:val="22"/>
          <w:szCs w:val="22"/>
          <w:lang w:val="en-ZA"/>
        </w:rPr>
        <w:t xml:space="preserve">and can also </w:t>
      </w:r>
      <w:r w:rsidR="008E7FFC">
        <w:rPr>
          <w:rFonts w:ascii="Arial" w:hAnsi="Arial" w:cs="Arial"/>
          <w:sz w:val="22"/>
          <w:szCs w:val="22"/>
          <w:lang w:val="en-ZA"/>
        </w:rPr>
        <w:t xml:space="preserve">be </w:t>
      </w:r>
      <w:r>
        <w:rPr>
          <w:rFonts w:ascii="Arial" w:hAnsi="Arial" w:cs="Arial"/>
          <w:sz w:val="22"/>
          <w:szCs w:val="22"/>
          <w:lang w:val="en-ZA"/>
        </w:rPr>
        <w:t xml:space="preserve">accessed through email upon request. </w:t>
      </w:r>
    </w:p>
    <w:p w14:paraId="2A28DAB4" w14:textId="77777777" w:rsidR="008E7D40" w:rsidRDefault="008E7D40" w:rsidP="006D6187">
      <w:pPr>
        <w:spacing w:line="276" w:lineRule="auto"/>
        <w:jc w:val="both"/>
        <w:rPr>
          <w:rFonts w:ascii="Arial" w:hAnsi="Arial" w:cs="Arial"/>
          <w:sz w:val="22"/>
          <w:szCs w:val="22"/>
        </w:rPr>
      </w:pPr>
    </w:p>
    <w:p w14:paraId="7C5AF844" w14:textId="366FC10F" w:rsidR="008E7D40" w:rsidRPr="0073630B" w:rsidRDefault="008E7D40" w:rsidP="006D6187">
      <w:pPr>
        <w:spacing w:line="276" w:lineRule="auto"/>
        <w:jc w:val="both"/>
        <w:rPr>
          <w:rFonts w:ascii="Arial" w:hAnsi="Arial" w:cs="Arial"/>
          <w:b/>
          <w:sz w:val="22"/>
          <w:szCs w:val="22"/>
        </w:rPr>
      </w:pPr>
      <w:r>
        <w:rPr>
          <w:rFonts w:ascii="Arial" w:hAnsi="Arial" w:cs="Arial"/>
          <w:b/>
          <w:sz w:val="22"/>
          <w:szCs w:val="22"/>
        </w:rPr>
        <w:t>Proposals from applicants under Thematic Call Window</w:t>
      </w:r>
      <w:r w:rsidRPr="0073630B">
        <w:rPr>
          <w:rFonts w:ascii="Arial" w:hAnsi="Arial" w:cs="Arial"/>
          <w:b/>
          <w:sz w:val="22"/>
          <w:szCs w:val="22"/>
        </w:rPr>
        <w:t xml:space="preserve"> should be submitted to the addresses below, by</w:t>
      </w:r>
      <w:r w:rsidR="00537588">
        <w:rPr>
          <w:rFonts w:ascii="Arial" w:hAnsi="Arial" w:cs="Arial"/>
          <w:b/>
          <w:sz w:val="22"/>
          <w:szCs w:val="22"/>
        </w:rPr>
        <w:t xml:space="preserve"> 17:00 hrs on 13</w:t>
      </w:r>
      <w:r>
        <w:rPr>
          <w:rFonts w:ascii="Arial" w:hAnsi="Arial" w:cs="Arial"/>
          <w:b/>
          <w:sz w:val="22"/>
          <w:szCs w:val="22"/>
        </w:rPr>
        <w:t xml:space="preserve"> August, 2020</w:t>
      </w:r>
      <w:r w:rsidRPr="0073630B">
        <w:rPr>
          <w:rFonts w:ascii="Arial" w:hAnsi="Arial" w:cs="Arial"/>
          <w:b/>
          <w:sz w:val="22"/>
          <w:szCs w:val="22"/>
        </w:rPr>
        <w:t xml:space="preserve">: </w:t>
      </w:r>
    </w:p>
    <w:p w14:paraId="48F3307B" w14:textId="77777777" w:rsidR="008E7D40" w:rsidRDefault="008E7D40" w:rsidP="006D6187">
      <w:pPr>
        <w:spacing w:line="276" w:lineRule="auto"/>
        <w:jc w:val="both"/>
        <w:rPr>
          <w:rFonts w:ascii="Arial" w:hAnsi="Arial" w:cs="Arial"/>
          <w:sz w:val="22"/>
          <w:szCs w:val="22"/>
        </w:rPr>
      </w:pPr>
    </w:p>
    <w:tbl>
      <w:tblPr>
        <w:tblStyle w:val="TableGrid"/>
        <w:tblW w:w="0" w:type="auto"/>
        <w:tblLook w:val="04A0" w:firstRow="1" w:lastRow="0" w:firstColumn="1" w:lastColumn="0" w:noHBand="0" w:noVBand="1"/>
      </w:tblPr>
      <w:tblGrid>
        <w:gridCol w:w="2302"/>
        <w:gridCol w:w="2301"/>
        <w:gridCol w:w="3693"/>
      </w:tblGrid>
      <w:tr w:rsidR="008E7D40" w14:paraId="74C23A03" w14:textId="77777777" w:rsidTr="009164C9">
        <w:tc>
          <w:tcPr>
            <w:tcW w:w="2934" w:type="dxa"/>
          </w:tcPr>
          <w:p w14:paraId="3497A830" w14:textId="77777777" w:rsidR="008E7D40" w:rsidRPr="003A6338" w:rsidRDefault="008E7D40" w:rsidP="006D6187">
            <w:pPr>
              <w:spacing w:line="276" w:lineRule="auto"/>
              <w:jc w:val="both"/>
              <w:rPr>
                <w:rFonts w:ascii="Arial" w:hAnsi="Arial" w:cs="Arial"/>
                <w:b/>
                <w:sz w:val="22"/>
                <w:szCs w:val="22"/>
              </w:rPr>
            </w:pPr>
            <w:r w:rsidRPr="003A6338">
              <w:rPr>
                <w:rFonts w:ascii="Arial" w:hAnsi="Arial" w:cs="Arial"/>
                <w:b/>
                <w:sz w:val="22"/>
                <w:szCs w:val="22"/>
              </w:rPr>
              <w:t>Physical Address</w:t>
            </w:r>
          </w:p>
        </w:tc>
        <w:tc>
          <w:tcPr>
            <w:tcW w:w="2934" w:type="dxa"/>
          </w:tcPr>
          <w:p w14:paraId="391C1A8C" w14:textId="77777777" w:rsidR="008E7D40" w:rsidRPr="003A6338" w:rsidRDefault="008E7D40" w:rsidP="006D6187">
            <w:pPr>
              <w:spacing w:line="276" w:lineRule="auto"/>
              <w:jc w:val="both"/>
              <w:rPr>
                <w:rFonts w:ascii="Arial" w:hAnsi="Arial" w:cs="Arial"/>
                <w:b/>
                <w:sz w:val="22"/>
                <w:szCs w:val="22"/>
              </w:rPr>
            </w:pPr>
            <w:r w:rsidRPr="003A6338">
              <w:rPr>
                <w:rFonts w:ascii="Arial" w:hAnsi="Arial" w:cs="Arial"/>
                <w:b/>
                <w:sz w:val="22"/>
                <w:szCs w:val="22"/>
              </w:rPr>
              <w:t>Postal Address</w:t>
            </w:r>
          </w:p>
        </w:tc>
        <w:tc>
          <w:tcPr>
            <w:tcW w:w="2428" w:type="dxa"/>
          </w:tcPr>
          <w:p w14:paraId="06332FED" w14:textId="77777777" w:rsidR="008E7D40" w:rsidRPr="00CA6E0D" w:rsidRDefault="008E7D40" w:rsidP="006D6187">
            <w:pPr>
              <w:spacing w:line="276" w:lineRule="auto"/>
              <w:jc w:val="both"/>
              <w:rPr>
                <w:rFonts w:ascii="Arial" w:hAnsi="Arial" w:cs="Arial"/>
                <w:b/>
                <w:sz w:val="22"/>
                <w:szCs w:val="22"/>
              </w:rPr>
            </w:pPr>
            <w:r>
              <w:rPr>
                <w:rFonts w:ascii="Arial" w:hAnsi="Arial" w:cs="Arial"/>
                <w:b/>
                <w:sz w:val="22"/>
                <w:szCs w:val="22"/>
              </w:rPr>
              <w:t>Email Address</w:t>
            </w:r>
          </w:p>
        </w:tc>
      </w:tr>
      <w:tr w:rsidR="008E7D40" w14:paraId="0B406CB3" w14:textId="77777777" w:rsidTr="009164C9">
        <w:tc>
          <w:tcPr>
            <w:tcW w:w="2934" w:type="dxa"/>
          </w:tcPr>
          <w:p w14:paraId="5A3877A7" w14:textId="77777777" w:rsidR="008E7D40" w:rsidRDefault="008E7D40" w:rsidP="006D6187">
            <w:pPr>
              <w:spacing w:line="276" w:lineRule="auto"/>
              <w:jc w:val="both"/>
              <w:rPr>
                <w:rFonts w:ascii="Arial" w:hAnsi="Arial" w:cs="Arial"/>
                <w:sz w:val="22"/>
                <w:szCs w:val="22"/>
              </w:rPr>
            </w:pPr>
            <w:r>
              <w:rPr>
                <w:rFonts w:ascii="Arial" w:hAnsi="Arial" w:cs="Arial"/>
                <w:sz w:val="22"/>
                <w:szCs w:val="22"/>
              </w:rPr>
              <w:t>Tilitonse Foundation</w:t>
            </w:r>
          </w:p>
          <w:p w14:paraId="43533788" w14:textId="77777777" w:rsidR="008E7D40" w:rsidRDefault="008E7D40" w:rsidP="006D6187">
            <w:pPr>
              <w:spacing w:line="276" w:lineRule="auto"/>
              <w:jc w:val="both"/>
              <w:rPr>
                <w:rFonts w:ascii="Arial" w:hAnsi="Arial" w:cs="Arial"/>
                <w:sz w:val="22"/>
                <w:szCs w:val="22"/>
              </w:rPr>
            </w:pPr>
            <w:r>
              <w:rPr>
                <w:rFonts w:ascii="Arial" w:hAnsi="Arial" w:cs="Arial"/>
                <w:sz w:val="22"/>
                <w:szCs w:val="22"/>
              </w:rPr>
              <w:t>Plot No. 128, Lizulu Street</w:t>
            </w:r>
          </w:p>
          <w:p w14:paraId="6A862B87" w14:textId="77777777" w:rsidR="008E7D40" w:rsidRDefault="008E7D40" w:rsidP="006D6187">
            <w:pPr>
              <w:spacing w:line="276" w:lineRule="auto"/>
              <w:jc w:val="both"/>
              <w:rPr>
                <w:rFonts w:ascii="Arial" w:hAnsi="Arial" w:cs="Arial"/>
                <w:sz w:val="22"/>
                <w:szCs w:val="22"/>
              </w:rPr>
            </w:pPr>
            <w:r>
              <w:rPr>
                <w:rFonts w:ascii="Arial" w:hAnsi="Arial" w:cs="Arial"/>
                <w:sz w:val="22"/>
                <w:szCs w:val="22"/>
              </w:rPr>
              <w:t>Area 47 Sector 5</w:t>
            </w:r>
          </w:p>
          <w:p w14:paraId="3840D30E" w14:textId="77777777" w:rsidR="008E7D40" w:rsidRDefault="008E7D40" w:rsidP="006D6187">
            <w:pPr>
              <w:spacing w:line="276" w:lineRule="auto"/>
              <w:jc w:val="both"/>
              <w:rPr>
                <w:rFonts w:ascii="Arial" w:hAnsi="Arial" w:cs="Arial"/>
                <w:sz w:val="22"/>
                <w:szCs w:val="22"/>
              </w:rPr>
            </w:pPr>
            <w:r>
              <w:rPr>
                <w:rFonts w:ascii="Arial" w:hAnsi="Arial" w:cs="Arial"/>
                <w:sz w:val="22"/>
                <w:szCs w:val="22"/>
              </w:rPr>
              <w:t>LILONGWE</w:t>
            </w:r>
          </w:p>
          <w:p w14:paraId="29ED80FA" w14:textId="77777777" w:rsidR="008E7D40" w:rsidRDefault="008E7D40" w:rsidP="006D6187">
            <w:pPr>
              <w:spacing w:line="276" w:lineRule="auto"/>
              <w:jc w:val="both"/>
              <w:rPr>
                <w:rFonts w:ascii="Arial" w:hAnsi="Arial" w:cs="Arial"/>
                <w:sz w:val="22"/>
                <w:szCs w:val="22"/>
              </w:rPr>
            </w:pPr>
            <w:r>
              <w:rPr>
                <w:rFonts w:ascii="Arial" w:hAnsi="Arial" w:cs="Arial"/>
                <w:sz w:val="22"/>
                <w:szCs w:val="22"/>
              </w:rPr>
              <w:t>Malawi</w:t>
            </w:r>
          </w:p>
        </w:tc>
        <w:tc>
          <w:tcPr>
            <w:tcW w:w="2934" w:type="dxa"/>
          </w:tcPr>
          <w:p w14:paraId="1779B5D6" w14:textId="77777777" w:rsidR="008E7D40" w:rsidRDefault="008E7D40" w:rsidP="006D6187">
            <w:pPr>
              <w:spacing w:line="276" w:lineRule="auto"/>
              <w:jc w:val="both"/>
              <w:rPr>
                <w:rFonts w:ascii="Arial" w:hAnsi="Arial" w:cs="Arial"/>
                <w:sz w:val="22"/>
                <w:szCs w:val="22"/>
              </w:rPr>
            </w:pPr>
            <w:r>
              <w:rPr>
                <w:rFonts w:ascii="Arial" w:hAnsi="Arial" w:cs="Arial"/>
                <w:sz w:val="22"/>
                <w:szCs w:val="22"/>
              </w:rPr>
              <w:t>Tilitonse Foundation</w:t>
            </w:r>
          </w:p>
          <w:p w14:paraId="3341A35E" w14:textId="77777777" w:rsidR="008E7D40" w:rsidRDefault="008E7D40" w:rsidP="006D6187">
            <w:pPr>
              <w:spacing w:line="276" w:lineRule="auto"/>
              <w:jc w:val="both"/>
              <w:rPr>
                <w:rFonts w:ascii="Arial" w:hAnsi="Arial" w:cs="Arial"/>
                <w:sz w:val="22"/>
                <w:szCs w:val="22"/>
              </w:rPr>
            </w:pPr>
            <w:r>
              <w:rPr>
                <w:rFonts w:ascii="Arial" w:hAnsi="Arial" w:cs="Arial"/>
                <w:sz w:val="22"/>
                <w:szCs w:val="22"/>
              </w:rPr>
              <w:t>P.O. Box 31815</w:t>
            </w:r>
          </w:p>
          <w:p w14:paraId="782511B4" w14:textId="77777777" w:rsidR="008E7D40" w:rsidRDefault="008E7D40" w:rsidP="006D6187">
            <w:pPr>
              <w:spacing w:line="276" w:lineRule="auto"/>
              <w:jc w:val="both"/>
              <w:rPr>
                <w:rFonts w:ascii="Arial" w:hAnsi="Arial" w:cs="Arial"/>
                <w:sz w:val="22"/>
                <w:szCs w:val="22"/>
              </w:rPr>
            </w:pPr>
            <w:r>
              <w:rPr>
                <w:rFonts w:ascii="Arial" w:hAnsi="Arial" w:cs="Arial"/>
                <w:sz w:val="22"/>
                <w:szCs w:val="22"/>
              </w:rPr>
              <w:t xml:space="preserve">LILONGWE </w:t>
            </w:r>
          </w:p>
          <w:p w14:paraId="41252E50" w14:textId="77777777" w:rsidR="008E7D40" w:rsidRDefault="008E7D40" w:rsidP="006D6187">
            <w:pPr>
              <w:spacing w:line="276" w:lineRule="auto"/>
              <w:jc w:val="both"/>
              <w:rPr>
                <w:rFonts w:ascii="Arial" w:hAnsi="Arial" w:cs="Arial"/>
                <w:sz w:val="22"/>
                <w:szCs w:val="22"/>
              </w:rPr>
            </w:pPr>
            <w:r>
              <w:rPr>
                <w:rFonts w:ascii="Arial" w:hAnsi="Arial" w:cs="Arial"/>
                <w:sz w:val="22"/>
                <w:szCs w:val="22"/>
              </w:rPr>
              <w:t>Malawi</w:t>
            </w:r>
          </w:p>
        </w:tc>
        <w:tc>
          <w:tcPr>
            <w:tcW w:w="2428" w:type="dxa"/>
          </w:tcPr>
          <w:p w14:paraId="4A6E79B8" w14:textId="77777777" w:rsidR="008E7D40" w:rsidRDefault="00CD7107" w:rsidP="006D6187">
            <w:pPr>
              <w:spacing w:line="276" w:lineRule="auto"/>
              <w:jc w:val="both"/>
              <w:rPr>
                <w:rFonts w:ascii="Arial" w:hAnsi="Arial" w:cs="Arial"/>
                <w:sz w:val="22"/>
                <w:szCs w:val="22"/>
              </w:rPr>
            </w:pPr>
            <w:hyperlink r:id="rId10" w:history="1">
              <w:r w:rsidR="008E7D40">
                <w:rPr>
                  <w:rStyle w:val="Hyperlink"/>
                  <w:rFonts w:ascii="Arial" w:hAnsi="Arial" w:cs="Arial"/>
                  <w:sz w:val="22"/>
                  <w:szCs w:val="22"/>
                </w:rPr>
                <w:t>submission</w:t>
              </w:r>
              <w:r w:rsidR="008E7D40" w:rsidRPr="00A6630B">
                <w:rPr>
                  <w:rStyle w:val="Hyperlink"/>
                  <w:rFonts w:ascii="Arial" w:hAnsi="Arial" w:cs="Arial"/>
                  <w:sz w:val="22"/>
                  <w:szCs w:val="22"/>
                </w:rPr>
                <w:t>@tilitonsefoundation.org</w:t>
              </w:r>
            </w:hyperlink>
          </w:p>
        </w:tc>
      </w:tr>
    </w:tbl>
    <w:p w14:paraId="4196D53C" w14:textId="77777777" w:rsidR="008E7D40" w:rsidRPr="003A6338" w:rsidRDefault="008E7D40" w:rsidP="006D6187">
      <w:pPr>
        <w:spacing w:line="276" w:lineRule="auto"/>
        <w:jc w:val="both"/>
        <w:rPr>
          <w:rFonts w:ascii="Arial" w:hAnsi="Arial" w:cs="Arial"/>
          <w:sz w:val="22"/>
          <w:szCs w:val="22"/>
        </w:rPr>
      </w:pPr>
    </w:p>
    <w:p w14:paraId="16E249A6" w14:textId="77777777" w:rsidR="008D199A" w:rsidRDefault="0053729F" w:rsidP="006D6187">
      <w:pPr>
        <w:spacing w:line="276" w:lineRule="auto"/>
        <w:jc w:val="both"/>
        <w:rPr>
          <w:rFonts w:ascii="Arial" w:hAnsi="Arial" w:cs="Arial"/>
          <w:sz w:val="22"/>
          <w:szCs w:val="22"/>
        </w:rPr>
      </w:pPr>
      <w:r>
        <w:rPr>
          <w:rFonts w:ascii="Arial" w:hAnsi="Arial" w:cs="Arial"/>
          <w:sz w:val="22"/>
          <w:szCs w:val="22"/>
        </w:rPr>
        <w:t xml:space="preserve">In </w:t>
      </w:r>
      <w:r w:rsidR="008D199A">
        <w:rPr>
          <w:rFonts w:ascii="Arial" w:hAnsi="Arial" w:cs="Arial"/>
          <w:sz w:val="22"/>
          <w:szCs w:val="22"/>
        </w:rPr>
        <w:t>the event that the submission is made</w:t>
      </w:r>
      <w:r>
        <w:rPr>
          <w:rFonts w:ascii="Arial" w:hAnsi="Arial" w:cs="Arial"/>
          <w:sz w:val="22"/>
          <w:szCs w:val="22"/>
        </w:rPr>
        <w:t xml:space="preserve"> in hard copy, make sure that you also put it on a CD ROM or Flash Disk clearly indicating the name of the organisation</w:t>
      </w:r>
      <w:r w:rsidR="008D199A">
        <w:rPr>
          <w:rFonts w:ascii="Arial" w:hAnsi="Arial" w:cs="Arial"/>
          <w:sz w:val="22"/>
          <w:szCs w:val="22"/>
        </w:rPr>
        <w:t xml:space="preserve"> and submit both the hard and soft copies</w:t>
      </w:r>
      <w:r>
        <w:rPr>
          <w:rFonts w:ascii="Arial" w:hAnsi="Arial" w:cs="Arial"/>
          <w:sz w:val="22"/>
          <w:szCs w:val="22"/>
        </w:rPr>
        <w:t>. These two must reach the Foundation Offices before the expiry of the deadline.</w:t>
      </w:r>
    </w:p>
    <w:p w14:paraId="7A330714" w14:textId="77777777" w:rsidR="008D199A" w:rsidRDefault="008D199A" w:rsidP="006D6187">
      <w:pPr>
        <w:spacing w:line="276" w:lineRule="auto"/>
        <w:jc w:val="both"/>
        <w:rPr>
          <w:rFonts w:ascii="Arial" w:hAnsi="Arial" w:cs="Arial"/>
          <w:sz w:val="22"/>
          <w:szCs w:val="22"/>
        </w:rPr>
      </w:pPr>
    </w:p>
    <w:p w14:paraId="1615E24A" w14:textId="18C5E01A" w:rsidR="0053729F" w:rsidRDefault="0053729F" w:rsidP="006D6187">
      <w:pPr>
        <w:spacing w:line="276" w:lineRule="auto"/>
        <w:jc w:val="both"/>
        <w:rPr>
          <w:rFonts w:ascii="Arial" w:hAnsi="Arial" w:cs="Arial"/>
          <w:bCs/>
          <w:sz w:val="22"/>
          <w:szCs w:val="22"/>
          <w:lang w:eastAsia="en-US"/>
        </w:rPr>
      </w:pPr>
      <w:r>
        <w:rPr>
          <w:rFonts w:ascii="Arial" w:hAnsi="Arial" w:cs="Arial"/>
          <w:sz w:val="22"/>
          <w:szCs w:val="22"/>
        </w:rPr>
        <w:t xml:space="preserve"> </w:t>
      </w:r>
      <w:r w:rsidR="008E7D40" w:rsidRPr="006E75E8">
        <w:rPr>
          <w:rFonts w:ascii="Arial" w:hAnsi="Arial" w:cs="Arial"/>
          <w:sz w:val="22"/>
          <w:szCs w:val="22"/>
        </w:rPr>
        <w:t>Application guidelines and forms</w:t>
      </w:r>
      <w:r w:rsidR="008E7D40">
        <w:rPr>
          <w:rFonts w:ascii="Arial" w:hAnsi="Arial" w:cs="Arial"/>
          <w:sz w:val="22"/>
          <w:szCs w:val="22"/>
        </w:rPr>
        <w:t xml:space="preserve"> and the Political Economy Analysis Urban Governance and Management report</w:t>
      </w:r>
      <w:r w:rsidR="008E7D40" w:rsidRPr="006E75E8">
        <w:rPr>
          <w:rFonts w:ascii="Arial" w:hAnsi="Arial" w:cs="Arial"/>
          <w:sz w:val="22"/>
          <w:szCs w:val="22"/>
        </w:rPr>
        <w:t xml:space="preserve"> can be downloaded from the Tilitonse Foundation  website </w:t>
      </w:r>
      <w:r w:rsidR="008E7D40" w:rsidRPr="006E75E8">
        <w:rPr>
          <w:rFonts w:ascii="Arial" w:hAnsi="Arial" w:cs="Arial"/>
          <w:sz w:val="22"/>
          <w:szCs w:val="22"/>
          <w:lang w:val="en-US"/>
        </w:rPr>
        <w:t>(</w:t>
      </w:r>
      <w:hyperlink r:id="rId11" w:history="1">
        <w:r w:rsidR="008E7D40" w:rsidRPr="006E75E8">
          <w:rPr>
            <w:rStyle w:val="Hyperlink"/>
            <w:rFonts w:ascii="Arial" w:hAnsi="Arial" w:cs="Arial"/>
            <w:sz w:val="22"/>
            <w:szCs w:val="22"/>
            <w:lang w:val="en-US"/>
          </w:rPr>
          <w:t>www.tilitonsefoundation</w:t>
        </w:r>
        <w:r w:rsidR="008E7D40" w:rsidRPr="006E75E8">
          <w:rPr>
            <w:rStyle w:val="Hyperlink"/>
            <w:rFonts w:ascii="Arial" w:hAnsi="Arial" w:cs="Arial"/>
            <w:sz w:val="22"/>
            <w:szCs w:val="22"/>
          </w:rPr>
          <w:t>.org</w:t>
        </w:r>
      </w:hyperlink>
      <w:r w:rsidR="008E7D40" w:rsidRPr="006E75E8">
        <w:rPr>
          <w:rStyle w:val="Hyperlink"/>
          <w:rFonts w:ascii="Arial" w:hAnsi="Arial" w:cs="Arial"/>
          <w:sz w:val="22"/>
          <w:szCs w:val="22"/>
        </w:rPr>
        <w:t>) or</w:t>
      </w:r>
      <w:r w:rsidR="008E7D40" w:rsidRPr="006E75E8">
        <w:rPr>
          <w:rFonts w:ascii="Arial" w:hAnsi="Arial" w:cs="Arial"/>
          <w:sz w:val="22"/>
          <w:szCs w:val="22"/>
        </w:rPr>
        <w:t xml:space="preserve"> can be obtained by writing to </w:t>
      </w:r>
      <w:hyperlink r:id="rId12" w:history="1">
        <w:r w:rsidR="008E7D40" w:rsidRPr="002711FA">
          <w:rPr>
            <w:rStyle w:val="Hyperlink"/>
            <w:rFonts w:ascii="Arial" w:hAnsi="Arial" w:cs="Arial"/>
            <w:sz w:val="22"/>
            <w:szCs w:val="22"/>
          </w:rPr>
          <w:t>info@tilitonsefoundation.org</w:t>
        </w:r>
      </w:hyperlink>
      <w:r w:rsidR="008E7D40">
        <w:rPr>
          <w:rFonts w:ascii="Arial" w:hAnsi="Arial" w:cs="Arial"/>
          <w:sz w:val="22"/>
          <w:szCs w:val="22"/>
        </w:rPr>
        <w:t xml:space="preserve"> </w:t>
      </w:r>
      <w:r w:rsidR="008E7D40" w:rsidRPr="006E75E8">
        <w:rPr>
          <w:rFonts w:ascii="Arial" w:hAnsi="Arial" w:cs="Arial"/>
          <w:sz w:val="22"/>
          <w:szCs w:val="22"/>
        </w:rPr>
        <w:t xml:space="preserve">or </w:t>
      </w:r>
      <w:r w:rsidR="008E7D40">
        <w:rPr>
          <w:rFonts w:ascii="Arial" w:hAnsi="Arial" w:cs="Arial"/>
          <w:sz w:val="22"/>
          <w:szCs w:val="22"/>
        </w:rPr>
        <w:t xml:space="preserve">by </w:t>
      </w:r>
      <w:r w:rsidR="008E7D40" w:rsidRPr="006E75E8">
        <w:rPr>
          <w:rFonts w:ascii="Arial" w:hAnsi="Arial" w:cs="Arial"/>
          <w:sz w:val="22"/>
          <w:szCs w:val="22"/>
        </w:rPr>
        <w:t xml:space="preserve">calling the Foundation on </w:t>
      </w:r>
      <w:r>
        <w:rPr>
          <w:rFonts w:ascii="Arial" w:hAnsi="Arial" w:cs="Arial"/>
          <w:sz w:val="22"/>
          <w:szCs w:val="22"/>
        </w:rPr>
        <w:t xml:space="preserve">0993890100 </w:t>
      </w:r>
      <w:r w:rsidR="008E7D40">
        <w:rPr>
          <w:rFonts w:ascii="Arial" w:hAnsi="Arial" w:cs="Arial"/>
          <w:sz w:val="22"/>
          <w:szCs w:val="22"/>
        </w:rPr>
        <w:t xml:space="preserve">and </w:t>
      </w:r>
      <w:r w:rsidR="008E7D40" w:rsidRPr="008E7FFC">
        <w:rPr>
          <w:rFonts w:ascii="Arial" w:hAnsi="Arial" w:cs="Arial"/>
          <w:sz w:val="22"/>
          <w:szCs w:val="22"/>
        </w:rPr>
        <w:t xml:space="preserve">ask for </w:t>
      </w:r>
      <w:r>
        <w:rPr>
          <w:rFonts w:ascii="Arial" w:hAnsi="Arial" w:cs="Arial"/>
          <w:bCs/>
          <w:sz w:val="22"/>
          <w:szCs w:val="22"/>
          <w:lang w:eastAsia="en-US"/>
        </w:rPr>
        <w:t>Chandiwira Chisi</w:t>
      </w:r>
      <w:r w:rsidR="008E7D40" w:rsidRPr="006D6187">
        <w:rPr>
          <w:rFonts w:ascii="Arial" w:hAnsi="Arial" w:cs="Arial"/>
          <w:bCs/>
          <w:sz w:val="22"/>
          <w:szCs w:val="22"/>
          <w:lang w:eastAsia="en-US"/>
        </w:rPr>
        <w:t>.</w:t>
      </w:r>
    </w:p>
    <w:p w14:paraId="1F23AFC9" w14:textId="77777777" w:rsidR="0053729F" w:rsidRDefault="0053729F" w:rsidP="006D6187">
      <w:pPr>
        <w:spacing w:line="276" w:lineRule="auto"/>
        <w:jc w:val="both"/>
        <w:rPr>
          <w:rFonts w:ascii="Arial" w:hAnsi="Arial" w:cs="Arial"/>
          <w:bCs/>
          <w:sz w:val="22"/>
          <w:szCs w:val="22"/>
          <w:lang w:eastAsia="en-US"/>
        </w:rPr>
      </w:pPr>
    </w:p>
    <w:p w14:paraId="527F4034" w14:textId="6BFD022A" w:rsidR="008E7D40" w:rsidRPr="008E7FFC" w:rsidRDefault="0053729F" w:rsidP="006D6187">
      <w:pPr>
        <w:spacing w:line="276" w:lineRule="auto"/>
        <w:jc w:val="both"/>
        <w:rPr>
          <w:rFonts w:ascii="Arial" w:hAnsi="Arial" w:cs="Arial"/>
          <w:b/>
          <w:bCs/>
          <w:sz w:val="22"/>
          <w:szCs w:val="22"/>
        </w:rPr>
      </w:pPr>
      <w:r>
        <w:rPr>
          <w:rFonts w:ascii="Arial" w:hAnsi="Arial" w:cs="Arial"/>
          <w:bCs/>
          <w:sz w:val="22"/>
          <w:szCs w:val="22"/>
          <w:lang w:eastAsia="en-US"/>
        </w:rPr>
        <w:t>Be informed that due to escalating threats of Covid 19, the Foundation will not be able to hold Guidance Sessions for the prospective applicants. Therefore, the expectation is that with available information on the website,</w:t>
      </w:r>
      <w:r w:rsidR="008D199A">
        <w:rPr>
          <w:rFonts w:ascii="Arial" w:hAnsi="Arial" w:cs="Arial"/>
          <w:bCs/>
          <w:sz w:val="22"/>
          <w:szCs w:val="22"/>
          <w:lang w:eastAsia="en-US"/>
        </w:rPr>
        <w:t xml:space="preserve"> the applicants should be able</w:t>
      </w:r>
      <w:r>
        <w:rPr>
          <w:rFonts w:ascii="Arial" w:hAnsi="Arial" w:cs="Arial"/>
          <w:bCs/>
          <w:sz w:val="22"/>
          <w:szCs w:val="22"/>
          <w:lang w:eastAsia="en-US"/>
        </w:rPr>
        <w:t xml:space="preserve"> to develop complete applications and submit.</w:t>
      </w:r>
      <w:r w:rsidR="008E7D40" w:rsidRPr="006D6187">
        <w:rPr>
          <w:rFonts w:ascii="Arial" w:hAnsi="Arial" w:cs="Arial"/>
          <w:bCs/>
          <w:sz w:val="22"/>
          <w:szCs w:val="22"/>
          <w:lang w:eastAsia="en-US"/>
        </w:rPr>
        <w:t xml:space="preserve"> </w:t>
      </w:r>
    </w:p>
    <w:p w14:paraId="76CEE9D2" w14:textId="77777777" w:rsidR="008E7D40" w:rsidRDefault="008E7D40" w:rsidP="006D6187">
      <w:pPr>
        <w:spacing w:line="276" w:lineRule="auto"/>
        <w:jc w:val="both"/>
        <w:rPr>
          <w:rFonts w:ascii="Arial" w:hAnsi="Arial" w:cs="Arial"/>
          <w:bCs/>
          <w:sz w:val="22"/>
          <w:szCs w:val="22"/>
        </w:rPr>
      </w:pPr>
    </w:p>
    <w:p w14:paraId="7AED22CF" w14:textId="77777777" w:rsidR="008E7D40" w:rsidRPr="006E75E8" w:rsidRDefault="008E7D40" w:rsidP="006D6187">
      <w:pPr>
        <w:spacing w:line="276" w:lineRule="auto"/>
        <w:jc w:val="both"/>
        <w:rPr>
          <w:rFonts w:ascii="Arial" w:hAnsi="Arial" w:cs="Arial"/>
          <w:sz w:val="22"/>
          <w:szCs w:val="22"/>
        </w:rPr>
      </w:pPr>
      <w:r w:rsidRPr="006E75E8">
        <w:rPr>
          <w:rFonts w:ascii="Arial" w:hAnsi="Arial" w:cs="Arial"/>
          <w:sz w:val="22"/>
          <w:szCs w:val="22"/>
        </w:rPr>
        <w:t xml:space="preserve"> </w:t>
      </w:r>
    </w:p>
    <w:p w14:paraId="765D5369" w14:textId="77777777" w:rsidR="002647CA" w:rsidRDefault="00CD7107" w:rsidP="006D6187">
      <w:pPr>
        <w:spacing w:line="276" w:lineRule="auto"/>
      </w:pPr>
    </w:p>
    <w:sectPr w:rsidR="002647CA" w:rsidSect="008F38BD">
      <w:headerReference w:type="default" r:id="rId13"/>
      <w:footerReference w:type="default" r:id="rId14"/>
      <w:pgSz w:w="11906" w:h="16838"/>
      <w:pgMar w:top="1560" w:right="1800" w:bottom="1440" w:left="180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2805CE9" w16cid:durableId="22B4B3E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38AAEA" w14:textId="77777777" w:rsidR="00CD7107" w:rsidRDefault="00CD7107">
      <w:r>
        <w:separator/>
      </w:r>
    </w:p>
  </w:endnote>
  <w:endnote w:type="continuationSeparator" w:id="0">
    <w:p w14:paraId="7A5BA3F1" w14:textId="77777777" w:rsidR="00CD7107" w:rsidRDefault="00CD7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5995274"/>
      <w:docPartObj>
        <w:docPartGallery w:val="Page Numbers (Bottom of Page)"/>
        <w:docPartUnique/>
      </w:docPartObj>
    </w:sdtPr>
    <w:sdtEndPr>
      <w:rPr>
        <w:color w:val="7F7F7F"/>
        <w:spacing w:val="60"/>
      </w:rPr>
    </w:sdtEndPr>
    <w:sdtContent>
      <w:p w14:paraId="2C79451E" w14:textId="7A2DC7A8" w:rsidR="0073630B" w:rsidRDefault="008E7FFC" w:rsidP="001451A6">
        <w:pPr>
          <w:pStyle w:val="Footer"/>
          <w:pBdr>
            <w:top w:val="single" w:sz="4" w:space="1" w:color="D9D9D9"/>
          </w:pBdr>
          <w:jc w:val="right"/>
        </w:pPr>
        <w:r>
          <w:fldChar w:fldCharType="begin"/>
        </w:r>
        <w:r>
          <w:instrText xml:space="preserve"> PAGE   \* MERGEFORMAT </w:instrText>
        </w:r>
        <w:r>
          <w:fldChar w:fldCharType="separate"/>
        </w:r>
        <w:r w:rsidR="002A17A2">
          <w:rPr>
            <w:noProof/>
          </w:rPr>
          <w:t>3</w:t>
        </w:r>
        <w:r>
          <w:rPr>
            <w:noProof/>
          </w:rPr>
          <w:fldChar w:fldCharType="end"/>
        </w:r>
        <w:r>
          <w:t xml:space="preserve"> | </w:t>
        </w:r>
        <w:r w:rsidRPr="001451A6">
          <w:rPr>
            <w:color w:val="7F7F7F"/>
            <w:spacing w:val="60"/>
          </w:rPr>
          <w:t>Page</w:t>
        </w:r>
      </w:p>
    </w:sdtContent>
  </w:sdt>
  <w:p w14:paraId="435D48C5" w14:textId="77777777" w:rsidR="00E404C2" w:rsidRDefault="00CD710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1C1573" w14:textId="77777777" w:rsidR="00CD7107" w:rsidRDefault="00CD7107">
      <w:r>
        <w:separator/>
      </w:r>
    </w:p>
  </w:footnote>
  <w:footnote w:type="continuationSeparator" w:id="0">
    <w:p w14:paraId="5E4CFF95" w14:textId="77777777" w:rsidR="00CD7107" w:rsidRDefault="00CD710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83335" w14:textId="77777777" w:rsidR="00E404C2" w:rsidRPr="00F605FC" w:rsidRDefault="008E7FFC" w:rsidP="00BF5E6A">
    <w:pPr>
      <w:pStyle w:val="Header"/>
      <w:rPr>
        <w:rFonts w:ascii="Arial" w:hAnsi="Arial" w:cs="Arial"/>
        <w:sz w:val="22"/>
        <w:szCs w:val="22"/>
      </w:rPr>
    </w:pP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AC2A2C"/>
    <w:multiLevelType w:val="hybridMultilevel"/>
    <w:tmpl w:val="C12C359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358F5CEA"/>
    <w:multiLevelType w:val="hybridMultilevel"/>
    <w:tmpl w:val="B6B4C5AA"/>
    <w:lvl w:ilvl="0" w:tplc="0409001B">
      <w:start w:val="1"/>
      <w:numFmt w:val="lowerRoman"/>
      <w:lvlText w:val="%1."/>
      <w:lvlJc w:val="right"/>
      <w:pPr>
        <w:ind w:left="720" w:hanging="360"/>
      </w:pPr>
      <w:rPr>
        <w:rFonts w:hint="default"/>
        <w:color w:val="auto"/>
        <w:sz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4F44306E"/>
    <w:multiLevelType w:val="hybridMultilevel"/>
    <w:tmpl w:val="77BE4A3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79951FF7"/>
    <w:multiLevelType w:val="hybridMultilevel"/>
    <w:tmpl w:val="E18C76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D40"/>
    <w:rsid w:val="0003697A"/>
    <w:rsid w:val="002642C9"/>
    <w:rsid w:val="002A17A2"/>
    <w:rsid w:val="003D2F79"/>
    <w:rsid w:val="00474E64"/>
    <w:rsid w:val="0053729F"/>
    <w:rsid w:val="00537588"/>
    <w:rsid w:val="00606955"/>
    <w:rsid w:val="006D6187"/>
    <w:rsid w:val="00700448"/>
    <w:rsid w:val="0077363C"/>
    <w:rsid w:val="007A7316"/>
    <w:rsid w:val="008D199A"/>
    <w:rsid w:val="008E7D40"/>
    <w:rsid w:val="008E7FFC"/>
    <w:rsid w:val="00CD7107"/>
    <w:rsid w:val="00D74144"/>
    <w:rsid w:val="00E86E85"/>
    <w:rsid w:val="00F61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36283"/>
  <w15:chartTrackingRefBased/>
  <w15:docId w15:val="{125A3C32-D841-48D9-9BA5-E58491F96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7D40"/>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E7D40"/>
    <w:pPr>
      <w:tabs>
        <w:tab w:val="center" w:pos="4153"/>
        <w:tab w:val="right" w:pos="8306"/>
      </w:tabs>
    </w:pPr>
  </w:style>
  <w:style w:type="character" w:customStyle="1" w:styleId="HeaderChar">
    <w:name w:val="Header Char"/>
    <w:basedOn w:val="DefaultParagraphFont"/>
    <w:link w:val="Header"/>
    <w:uiPriority w:val="99"/>
    <w:rsid w:val="008E7D40"/>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rsid w:val="008E7D40"/>
    <w:pPr>
      <w:tabs>
        <w:tab w:val="center" w:pos="4153"/>
        <w:tab w:val="right" w:pos="8306"/>
      </w:tabs>
    </w:pPr>
  </w:style>
  <w:style w:type="character" w:customStyle="1" w:styleId="FooterChar">
    <w:name w:val="Footer Char"/>
    <w:basedOn w:val="DefaultParagraphFont"/>
    <w:link w:val="Footer"/>
    <w:uiPriority w:val="99"/>
    <w:rsid w:val="008E7D40"/>
    <w:rPr>
      <w:rFonts w:ascii="Times New Roman" w:eastAsia="Times New Roman" w:hAnsi="Times New Roman" w:cs="Times New Roman"/>
      <w:sz w:val="24"/>
      <w:szCs w:val="24"/>
      <w:lang w:val="en-GB" w:eastAsia="en-GB"/>
    </w:rPr>
  </w:style>
  <w:style w:type="paragraph" w:styleId="ListParagraph">
    <w:name w:val="List Paragraph"/>
    <w:aliases w:val="List Bullet-OpsManual,List Paragraph (numbered (a)),Bullets,Numbered List Paragraph"/>
    <w:basedOn w:val="Normal"/>
    <w:link w:val="ListParagraphChar"/>
    <w:uiPriority w:val="34"/>
    <w:qFormat/>
    <w:rsid w:val="008E7D40"/>
    <w:pPr>
      <w:ind w:left="720"/>
      <w:contextualSpacing/>
    </w:pPr>
  </w:style>
  <w:style w:type="character" w:styleId="Hyperlink">
    <w:name w:val="Hyperlink"/>
    <w:basedOn w:val="DefaultParagraphFont"/>
    <w:uiPriority w:val="99"/>
    <w:rsid w:val="008E7D40"/>
    <w:rPr>
      <w:rFonts w:cs="Times New Roman"/>
      <w:color w:val="0000FF"/>
      <w:u w:val="single"/>
    </w:rPr>
  </w:style>
  <w:style w:type="table" w:styleId="TableGrid">
    <w:name w:val="Table Grid"/>
    <w:basedOn w:val="TableNormal"/>
    <w:uiPriority w:val="99"/>
    <w:rsid w:val="008E7D40"/>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Bullet-OpsManual Char,List Paragraph (numbered (a)) Char,Bullets Char,Numbered List Paragraph Char"/>
    <w:link w:val="ListParagraph"/>
    <w:uiPriority w:val="34"/>
    <w:locked/>
    <w:rsid w:val="008E7D40"/>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7A73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7316"/>
    <w:rPr>
      <w:rFonts w:ascii="Segoe UI" w:eastAsia="Times New Roman" w:hAnsi="Segoe UI" w:cs="Segoe UI"/>
      <w:sz w:val="18"/>
      <w:szCs w:val="18"/>
      <w:lang w:val="en-GB" w:eastAsia="en-GB"/>
    </w:rPr>
  </w:style>
  <w:style w:type="character" w:styleId="CommentReference">
    <w:name w:val="annotation reference"/>
    <w:basedOn w:val="DefaultParagraphFont"/>
    <w:uiPriority w:val="99"/>
    <w:semiHidden/>
    <w:unhideWhenUsed/>
    <w:rsid w:val="007A7316"/>
    <w:rPr>
      <w:sz w:val="16"/>
      <w:szCs w:val="16"/>
    </w:rPr>
  </w:style>
  <w:style w:type="paragraph" w:styleId="CommentText">
    <w:name w:val="annotation text"/>
    <w:basedOn w:val="Normal"/>
    <w:link w:val="CommentTextChar"/>
    <w:uiPriority w:val="99"/>
    <w:semiHidden/>
    <w:unhideWhenUsed/>
    <w:rsid w:val="007A7316"/>
    <w:rPr>
      <w:sz w:val="20"/>
      <w:szCs w:val="20"/>
    </w:rPr>
  </w:style>
  <w:style w:type="character" w:customStyle="1" w:styleId="CommentTextChar">
    <w:name w:val="Comment Text Char"/>
    <w:basedOn w:val="DefaultParagraphFont"/>
    <w:link w:val="CommentText"/>
    <w:uiPriority w:val="99"/>
    <w:semiHidden/>
    <w:rsid w:val="007A7316"/>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7A7316"/>
    <w:rPr>
      <w:b/>
      <w:bCs/>
    </w:rPr>
  </w:style>
  <w:style w:type="character" w:customStyle="1" w:styleId="CommentSubjectChar">
    <w:name w:val="Comment Subject Char"/>
    <w:basedOn w:val="CommentTextChar"/>
    <w:link w:val="CommentSubject"/>
    <w:uiPriority w:val="99"/>
    <w:semiHidden/>
    <w:rsid w:val="007A7316"/>
    <w:rPr>
      <w:rFonts w:ascii="Times New Roman" w:eastAsia="Times New Roman" w:hAnsi="Times New Roman" w:cs="Times New Roman"/>
      <w:b/>
      <w:bCs/>
      <w:sz w:val="20"/>
      <w:szCs w:val="20"/>
      <w:lang w:val="en-GB" w:eastAsia="en-GB"/>
    </w:rPr>
  </w:style>
  <w:style w:type="character" w:customStyle="1" w:styleId="UnresolvedMention1">
    <w:name w:val="Unresolved Mention1"/>
    <w:basedOn w:val="DefaultParagraphFont"/>
    <w:uiPriority w:val="99"/>
    <w:semiHidden/>
    <w:unhideWhenUsed/>
    <w:rsid w:val="008E7F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info@tilitonsefoundation.org" TargetMode="External"/><Relationship Id="rId2" Type="http://schemas.openxmlformats.org/officeDocument/2006/relationships/styles" Target="styles.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ilitonsefoundation.or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info@tilitonsefoundation.org" TargetMode="External"/><Relationship Id="rId4" Type="http://schemas.openxmlformats.org/officeDocument/2006/relationships/webSettings" Target="webSettings.xml"/><Relationship Id="rId9" Type="http://schemas.openxmlformats.org/officeDocument/2006/relationships/hyperlink" Target="http://www.tilitonsefoundation.or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1090</Words>
  <Characters>6215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White</dc:creator>
  <cp:keywords/>
  <dc:description/>
  <cp:lastModifiedBy>Chandiwira Chisi</cp:lastModifiedBy>
  <cp:revision>4</cp:revision>
  <dcterms:created xsi:type="dcterms:W3CDTF">2020-07-17T10:44:00Z</dcterms:created>
  <dcterms:modified xsi:type="dcterms:W3CDTF">2020-07-17T11:09:00Z</dcterms:modified>
</cp:coreProperties>
</file>